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1"/>
        <w:ind w:left="7371"/>
        <w:rPr>
          <w:highlight w:val="none"/>
          <w:shd w:val="clear" w:color="auto" w:fill="auto"/>
        </w:rPr>
      </w:pPr>
      <w:r>
        <w:rPr>
          <w:bCs/>
          <w:color w:val="26282d"/>
          <w:spacing w:val="-2"/>
          <w:sz w:val="28"/>
          <w:szCs w:val="28"/>
          <w:shd w:val="clear" w:color="auto" w:fill="auto"/>
        </w:rPr>
        <w:t xml:space="preserve">Утвержден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left="7371"/>
        <w:rPr>
          <w:highlight w:val="none"/>
          <w:shd w:val="clear" w:color="auto" w:fill="auto"/>
        </w:rPr>
      </w:pPr>
      <w:r>
        <w:rPr>
          <w:bCs/>
          <w:color w:val="26282d"/>
          <w:spacing w:val="-2"/>
          <w:sz w:val="28"/>
          <w:szCs w:val="28"/>
          <w:shd w:val="clear" w:color="auto" w:fill="auto"/>
        </w:rPr>
        <w:t xml:space="preserve">постановлением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left="7371"/>
        <w:rPr>
          <w:highlight w:val="none"/>
          <w:shd w:val="clear" w:color="auto" w:fill="auto"/>
        </w:rPr>
      </w:pPr>
      <w:r>
        <w:rPr>
          <w:bCs/>
          <w:color w:val="26282d"/>
          <w:spacing w:val="-2"/>
          <w:sz w:val="28"/>
          <w:szCs w:val="28"/>
          <w:shd w:val="clear" w:color="auto" w:fill="auto"/>
        </w:rPr>
        <w:t xml:space="preserve">Кабинета </w:t>
      </w:r>
      <w:r>
        <w:rPr>
          <w:bCs/>
          <w:color w:val="26282d"/>
          <w:spacing w:val="-2"/>
          <w:sz w:val="28"/>
          <w:szCs w:val="28"/>
          <w:shd w:val="clear" w:color="auto" w:fill="auto"/>
        </w:rPr>
        <w:t xml:space="preserve">М</w:t>
      </w:r>
      <w:r>
        <w:rPr>
          <w:bCs/>
          <w:color w:val="26282d"/>
          <w:spacing w:val="-2"/>
          <w:sz w:val="28"/>
          <w:szCs w:val="28"/>
          <w:shd w:val="clear" w:color="auto" w:fill="auto"/>
        </w:rPr>
        <w:t xml:space="preserve">инистров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left="7371"/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Республики Татарстан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1"/>
        <w:ind w:left="7371"/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от ____ 2025 № ______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1"/>
        <w:jc w:val="right"/>
        <w:rPr>
          <w:bCs/>
          <w:color w:val="000000" w:themeColor="text1"/>
          <w:spacing w:val="-2"/>
          <w:sz w:val="28"/>
          <w:szCs w:val="28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</w:r>
      <w:r>
        <w:rPr>
          <w:bCs/>
          <w:color w:val="000000" w:themeColor="text1"/>
          <w:spacing w:val="-2"/>
          <w:sz w:val="28"/>
          <w:szCs w:val="28"/>
          <w:highlight w:val="none"/>
          <w:shd w:val="clear" w:color="auto" w:fill="auto"/>
        </w:rPr>
      </w:r>
      <w:r>
        <w:rPr>
          <w:bCs/>
          <w:color w:val="000000" w:themeColor="text1"/>
          <w:spacing w:val="-2"/>
          <w:sz w:val="28"/>
          <w:szCs w:val="28"/>
          <w:highlight w:val="none"/>
          <w:shd w:val="clear" w:color="auto" w:fill="auto"/>
        </w:rPr>
      </w:r>
    </w:p>
    <w:p>
      <w:pPr>
        <w:pStyle w:val="881"/>
        <w:jc w:val="center"/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Порядок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1"/>
        <w:ind w:firstLine="709"/>
        <w:jc w:val="center"/>
        <w:rPr>
          <w:color w:val="000000" w:themeColor="text1"/>
          <w:sz w:val="28"/>
          <w:szCs w:val="28"/>
          <w:shd w:val="clear" w:color="auto" w:fill="auto"/>
        </w:rPr>
      </w:pP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предоставления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в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2025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году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грантов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в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форме</w:t>
      </w: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субсидий</w:t>
      </w: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 «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Поддержка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программ</w:t>
      </w: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развития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передовых инженерных</w:t>
      </w:r>
      <w:r>
        <w:rPr>
          <w:bCs/>
          <w:color w:val="000000" w:themeColor="text1"/>
          <w:spacing w:val="-7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школ»</w:t>
      </w:r>
      <w:r>
        <w:rPr>
          <w:bCs/>
          <w:color w:val="000000" w:themeColor="text1"/>
          <w:spacing w:val="-8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федеральному государственному 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sz w:val="28"/>
          <w:szCs w:val="28"/>
          <w:shd w:val="clear" w:color="auto" w:fill="auto"/>
        </w:rPr>
      </w:r>
    </w:p>
    <w:p>
      <w:pPr>
        <w:ind w:firstLine="709"/>
        <w:jc w:val="center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бюджетному образовательному учреждению высшего образования «Казанский национальный исследовательский технический университет им. А.Н. Туполева </w:t>
      </w:r>
      <w:r>
        <w:rPr>
          <w:bCs/>
          <w:caps w:val="0"/>
          <w:smallCaps w:val="0"/>
          <w:color w:val="000000" w:themeColor="text1"/>
          <w:spacing w:val="-15"/>
          <w:sz w:val="28"/>
          <w:szCs w:val="28"/>
          <w:shd w:val="clear" w:color="auto" w:fill="auto"/>
        </w:rPr>
        <w:t xml:space="preserve">– 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КАИ» и государственному автономному образовательному учреждению высшего образования «Альметьевский государственный технологический университет </w:t>
      </w:r>
      <w:r>
        <w:rPr>
          <w:color w:val="000000" w:themeColor="text1"/>
          <w:highlight w:val="none"/>
        </w:rPr>
      </w:r>
      <w:r>
        <w:rPr>
          <w:color w:val="000000" w:themeColor="text1"/>
          <w:sz w:val="28"/>
          <w:szCs w:val="28"/>
        </w:rPr>
      </w:r>
    </w:p>
    <w:p>
      <w:pPr>
        <w:ind w:firstLine="709"/>
        <w:jc w:val="center"/>
        <w:rPr>
          <w:color w:val="000000" w:themeColor="text1"/>
          <w:highlight w:val="none"/>
        </w:rPr>
      </w:pP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«Высшая школа нефти»</w:t>
      </w:r>
      <w:r>
        <w:rPr>
          <w:color w:val="000000" w:themeColor="text1"/>
        </w:rPr>
      </w:r>
      <w:r>
        <w:rPr>
          <w:color w:val="000000" w:themeColor="text1"/>
          <w:highlight w:val="none"/>
        </w:rPr>
      </w:r>
    </w:p>
    <w:p>
      <w:pPr>
        <w:pStyle w:val="881"/>
        <w:ind w:firstLine="709"/>
        <w:jc w:val="both"/>
        <w:rPr>
          <w:b/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b/>
          <w:color w:val="000000" w:themeColor="text1"/>
          <w:sz w:val="28"/>
          <w:szCs w:val="28"/>
          <w:shd w:val="clear" w:color="auto" w:fill="auto"/>
        </w:rPr>
      </w:r>
      <w:r>
        <w:rPr>
          <w:b/>
          <w:color w:val="000000" w:themeColor="text1"/>
          <w:sz w:val="28"/>
          <w:szCs w:val="28"/>
          <w:highlight w:val="none"/>
          <w:shd w:val="clear" w:color="auto" w:fill="auto"/>
        </w:rPr>
      </w:r>
      <w:r>
        <w:rPr>
          <w:b/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881"/>
        <w:jc w:val="center"/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z w:val="28"/>
          <w:szCs w:val="28"/>
          <w:shd w:val="clear" w:color="auto" w:fill="auto"/>
          <w:lang w:val="en-US"/>
        </w:rPr>
        <w:t xml:space="preserve">I.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Общие</w:t>
      </w:r>
      <w:r>
        <w:rPr>
          <w:bCs/>
          <w:color w:val="000000" w:themeColor="text1"/>
          <w:spacing w:val="-5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положения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1"/>
        <w:jc w:val="center"/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bCs/>
          <w:color w:val="000000" w:themeColor="text1"/>
          <w:sz w:val="28"/>
          <w:szCs w:val="28"/>
          <w:shd w:val="clear" w:color="auto" w:fill="auto"/>
        </w:rPr>
      </w:r>
      <w:r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r>
      <w:r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881"/>
        <w:ind w:left="0" w:right="0" w:firstLine="794"/>
        <w:jc w:val="both"/>
        <w:spacing w:before="0" w:after="0"/>
        <w:widowControl w:val="off"/>
        <w:rPr>
          <w:highlight w:val="none"/>
          <w:shd w:val="clear" w:color="auto" w:fill="auto"/>
        </w:rPr>
      </w:pPr>
      <w:r>
        <w:rPr>
          <w:color w:val="000000" w:themeColor="text1"/>
          <w:sz w:val="28"/>
          <w:szCs w:val="28"/>
          <w:shd w:val="clear" w:color="auto" w:fill="auto"/>
        </w:rPr>
        <w:t xml:space="preserve">1. Настоящий</w:t>
      </w:r>
      <w:r>
        <w:rPr>
          <w:color w:val="000000" w:themeColor="text1"/>
          <w:spacing w:val="55"/>
          <w:sz w:val="28"/>
          <w:szCs w:val="28"/>
          <w:shd w:val="clear" w:color="auto" w:fill="auto"/>
        </w:rPr>
        <w:t xml:space="preserve"> </w:t>
      </w:r>
      <w:r>
        <w:rPr>
          <w:color w:val="000000" w:themeColor="text1"/>
          <w:sz w:val="28"/>
          <w:szCs w:val="28"/>
          <w:shd w:val="clear" w:color="auto" w:fill="auto"/>
        </w:rPr>
        <w:t xml:space="preserve">Порядок</w:t>
      </w:r>
      <w:r>
        <w:rPr>
          <w:color w:val="000000" w:themeColor="text1"/>
          <w:spacing w:val="55"/>
          <w:sz w:val="28"/>
          <w:szCs w:val="28"/>
          <w:shd w:val="clear" w:color="auto" w:fill="auto"/>
        </w:rPr>
        <w:t xml:space="preserve"> </w:t>
      </w:r>
      <w:r>
        <w:rPr>
          <w:color w:val="000000" w:themeColor="text1"/>
          <w:sz w:val="28"/>
          <w:szCs w:val="28"/>
          <w:shd w:val="clear" w:color="auto" w:fill="auto"/>
        </w:rPr>
        <w:t xml:space="preserve">разработан</w:t>
      </w:r>
      <w:r>
        <w:rPr>
          <w:color w:val="000000" w:themeColor="text1"/>
          <w:spacing w:val="56"/>
          <w:sz w:val="28"/>
          <w:szCs w:val="28"/>
          <w:shd w:val="clear" w:color="auto" w:fill="auto"/>
        </w:rPr>
        <w:t xml:space="preserve"> </w:t>
      </w:r>
      <w:r>
        <w:rPr>
          <w:color w:val="000000" w:themeColor="text1"/>
          <w:sz w:val="28"/>
          <w:szCs w:val="28"/>
          <w:shd w:val="clear" w:color="auto" w:fill="auto"/>
        </w:rPr>
        <w:t xml:space="preserve">в</w:t>
      </w:r>
      <w:r>
        <w:rPr>
          <w:color w:val="000000" w:themeColor="text1"/>
          <w:spacing w:val="55"/>
          <w:sz w:val="28"/>
          <w:szCs w:val="28"/>
          <w:shd w:val="clear" w:color="auto" w:fill="auto"/>
        </w:rPr>
        <w:t xml:space="preserve"> </w:t>
      </w:r>
      <w:r>
        <w:rPr>
          <w:color w:val="000000" w:themeColor="text1"/>
          <w:sz w:val="28"/>
          <w:szCs w:val="28"/>
          <w:shd w:val="clear" w:color="auto" w:fill="auto"/>
        </w:rPr>
        <w:t xml:space="preserve">соответствии с Бюджетным кодексом Р</w:t>
      </w:r>
      <w:r>
        <w:rPr>
          <w:color w:val="000000" w:themeColor="text1"/>
          <w:spacing w:val="-2"/>
          <w:sz w:val="28"/>
          <w:szCs w:val="28"/>
          <w:shd w:val="clear" w:color="auto" w:fill="auto"/>
        </w:rPr>
        <w:t xml:space="preserve">оссийской </w:t>
      </w:r>
      <w:r>
        <w:rPr>
          <w:color w:val="000000" w:themeColor="text1"/>
          <w:sz w:val="28"/>
          <w:szCs w:val="28"/>
          <w:shd w:val="clear" w:color="auto" w:fill="auto"/>
        </w:rPr>
        <w:t xml:space="preserve">Федерации, постановлением Правительства Российской Федер</w:t>
      </w:r>
      <w:r>
        <w:rPr>
          <w:color w:val="000000" w:themeColor="text1"/>
          <w:sz w:val="28"/>
          <w:szCs w:val="28"/>
          <w:shd w:val="clear" w:color="auto" w:fill="auto"/>
        </w:rPr>
        <w:t xml:space="preserve">ации             от 25 октября 2023 г. № 1782 «Об утверждении общих требов</w:t>
      </w:r>
      <w:r>
        <w:rPr>
          <w:sz w:val="28"/>
          <w:szCs w:val="28"/>
          <w:shd w:val="clear" w:color="auto" w:fill="auto"/>
        </w:rPr>
        <w:t xml:space="preserve">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</w:t>
      </w:r>
      <w:r>
        <w:rPr>
          <w:sz w:val="28"/>
          <w:szCs w:val="28"/>
          <w:shd w:val="clear" w:color="auto" w:fill="auto"/>
        </w:rPr>
        <w:t xml:space="preserve">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Бюджетным кодексом Республики Татарстан,</w:t>
      </w:r>
      <w:r>
        <w:rPr>
          <w:color w:val="c9211e"/>
          <w:sz w:val="28"/>
          <w:szCs w:val="28"/>
          <w:shd w:val="clear" w:color="auto" w:fill="auto"/>
        </w:rPr>
        <w:t xml:space="preserve"> </w:t>
      </w:r>
      <w:r>
        <w:rPr>
          <w:b w:val="0"/>
          <w:bCs w:val="0"/>
          <w:i w:val="0"/>
          <w:iCs w:val="0"/>
          <w:color w:val="000000"/>
          <w:sz w:val="28"/>
          <w:szCs w:val="28"/>
          <w:shd w:val="clear" w:color="auto" w:fill="auto"/>
        </w:rPr>
        <w:t xml:space="preserve">Указом Раиса Республики Татарстан от 6 июня 2025 года № 452 «Об учреждении на 2025 год гранта «Поддержка программ развития передовых инженерных школ» и устанавливает цели, условия и </w:t>
      </w:r>
      <w:r>
        <w:rPr>
          <w:b w:val="0"/>
          <w:bCs w:val="0"/>
          <w:i w:val="0"/>
          <w:iCs w:val="0"/>
          <w:color w:val="000000"/>
          <w:sz w:val="28"/>
          <w:szCs w:val="28"/>
          <w:shd w:val="clear" w:color="auto" w:fill="auto"/>
        </w:rPr>
        <w:t xml:space="preserve">механизм</w:t>
      </w:r>
      <w:r>
        <w:rPr>
          <w:b w:val="0"/>
          <w:bCs w:val="0"/>
          <w:i w:val="0"/>
          <w:iCs w:val="0"/>
          <w:color w:val="000000"/>
          <w:sz w:val="28"/>
          <w:szCs w:val="28"/>
          <w:shd w:val="clear" w:color="auto" w:fill="auto"/>
        </w:rPr>
        <w:t xml:space="preserve"> предоставления в 2025 году грантов в форме субсидий из бюджета Республики Татарстан федеральному государственному бюджетному образовательному учреждению высшего об</w:t>
      </w:r>
      <w:r>
        <w:rPr>
          <w:b w:val="0"/>
          <w:bCs w:val="0"/>
          <w:i w:val="0"/>
          <w:iCs w:val="0"/>
          <w:color w:val="000000"/>
          <w:sz w:val="28"/>
          <w:szCs w:val="28"/>
          <w:shd w:val="clear" w:color="auto" w:fill="auto"/>
        </w:rPr>
        <w:t xml:space="preserve">раз</w:t>
      </w:r>
      <w:r>
        <w:rPr>
          <w:b w:val="0"/>
          <w:bCs w:val="0"/>
          <w:i w:val="0"/>
          <w:iCs w:val="0"/>
          <w:color w:val="000000"/>
          <w:sz w:val="28"/>
          <w:szCs w:val="28"/>
          <w:shd w:val="clear" w:color="auto" w:fill="auto"/>
        </w:rPr>
        <w:t xml:space="preserve">ования «Казанский национальный исследовательский технический университет им. А.Н. Туполева - КАИ» и государственному автономному образовательному учреждению высшего образования «Альметьевский государственный технологический университет «Высшая школа нефти»</w:t>
      </w:r>
      <w:r>
        <w:rPr>
          <w:color w:val="c9211e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 финансовое обеспечение затрат, связанных с поддержкой программ развития передовых инженерных школ (далее соответственно -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грант, образовательные организации высшего образования).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left="0" w:right="0" w:firstLine="794"/>
        <w:jc w:val="both"/>
        <w:spacing w:before="0" w:after="0"/>
        <w:widowControl w:val="off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2. Для</w:t>
      </w:r>
      <w:r>
        <w:rPr>
          <w:spacing w:val="-7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целей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настоящего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Порядка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используются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следующие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понятия: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left="0" w:right="0" w:firstLine="794"/>
        <w:jc w:val="both"/>
        <w:spacing w:before="0" w:after="0"/>
        <w:widowControl w:val="off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передовая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инженерная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школа</w:t>
      </w:r>
      <w:r>
        <w:rPr>
          <w:spacing w:val="-5"/>
          <w:sz w:val="28"/>
          <w:szCs w:val="28"/>
          <w:shd w:val="clear" w:color="auto" w:fill="auto"/>
        </w:rPr>
        <w:t xml:space="preserve"> – </w:t>
      </w:r>
      <w:r>
        <w:rPr>
          <w:sz w:val="28"/>
          <w:szCs w:val="28"/>
          <w:shd w:val="clear" w:color="auto" w:fill="auto"/>
        </w:rPr>
        <w:t xml:space="preserve">структурное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подразделение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(без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образования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юридического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лица) образовательной организации высшего образования, осуществляющее образовательную, научную, инновационную деятельность в соответствии с программой развития передовой инженерной школы в партнерстве с высокотехнологичными компаниями;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left="0" w:right="0" w:firstLine="794"/>
        <w:jc w:val="both"/>
        <w:spacing w:before="0" w:after="0"/>
        <w:widowControl w:val="off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высокотехнологичная компания – организация, действующая на территории Российской Федерации в соответствии с законодательством Российской Федерации, осуществляющая деятельность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 высокотехнологичных и наукоемких отраслях.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left="0" w:right="0" w:firstLine="794"/>
        <w:jc w:val="both"/>
        <w:spacing w:before="0" w:after="0"/>
        <w:widowControl w:val="off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3. Грант предоставляется в целях подде</w:t>
      </w:r>
      <w:r>
        <w:rPr>
          <w:sz w:val="28"/>
          <w:szCs w:val="28"/>
          <w:shd w:val="clear" w:color="auto" w:fill="auto"/>
        </w:rPr>
        <w:t xml:space="preserve">ржки программ развития созданных в рамках федерального проекта на базе ведущих образовательных организаций высшего образования в Республике Татарстан в партнерстве с высокотехнологичными компаниями передовых инженерных школ, направленных на обеспечение усл</w:t>
      </w:r>
      <w:r>
        <w:rPr>
          <w:sz w:val="28"/>
          <w:szCs w:val="28"/>
          <w:shd w:val="clear" w:color="auto" w:fill="auto"/>
        </w:rPr>
        <w:t xml:space="preserve">овий для создания нового типа инженерной подготовки, осуществления прорывных разработок и исследований в приоритетных областях технологического развития Российской Федерации, создания научно-технологического задела для формирования и развития отраслей ново</w:t>
      </w:r>
      <w:r>
        <w:rPr>
          <w:sz w:val="28"/>
          <w:szCs w:val="28"/>
          <w:shd w:val="clear" w:color="auto" w:fill="auto"/>
        </w:rPr>
        <w:t xml:space="preserve">й экономики Республики Татарстан, прохождения практик и стажировок, в том числе в формате работы с наставниками, для талантливых студентов лучших магистерских программ, повышения квалификации и (или) профессиональной переподготовки, в том числе в форме ста</w:t>
      </w:r>
      <w:r>
        <w:rPr>
          <w:sz w:val="28"/>
          <w:szCs w:val="28"/>
          <w:shd w:val="clear" w:color="auto" w:fill="auto"/>
        </w:rPr>
        <w:t xml:space="preserve">жировки на базе высокотехнологичных компаний, для профессорско-преподавательского состава и управленческих команд передовых инженерных школ, а также образовательных организаций высшего образования, реализующих образовательные программы инженерного профиля.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left="0" w:right="0" w:firstLine="794"/>
        <w:jc w:val="both"/>
        <w:spacing w:before="0" w:after="0"/>
        <w:widowControl w:val="off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4. Главным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распорядителем средств бюджета Республики Татарстан,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в </w:t>
      </w:r>
      <w:r>
        <w:rPr>
          <w:rFonts w:eastAsia="Times New Roman" w:cs="Times New Roman"/>
          <w:sz w:val="28"/>
          <w:szCs w:val="28"/>
          <w:shd w:val="clear" w:color="auto" w:fill="auto"/>
          <w:lang w:val="ru-RU"/>
        </w:rPr>
        <w:t xml:space="preserve">2025</w:t>
      </w:r>
      <w:r>
        <w:rPr>
          <w:sz w:val="28"/>
          <w:szCs w:val="28"/>
          <w:shd w:val="clear" w:color="auto" w:fill="auto"/>
        </w:rPr>
        <w:t xml:space="preserve"> году гранта, является государственное научное бюджетное учреждение «Академия наук Республики Татарстан» (далее – Академия наук Республики Татарстан).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5. Информация о гранте размещается на едином портале</w:t>
      </w:r>
      <w:r>
        <w:rPr>
          <w:color w:val="0f6bbf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бюджетной системы Российской Федерации в информационно-телекоммуникационной сети «Интернет» в разделе «Бюджет» в порядке, установленном Министерством финансов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color w:val="000000" w:themeColor="text1"/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6. </w:t>
      </w:r>
      <w:r>
        <w:rPr>
          <w:rFonts w:eastAsia="Times New Roman" w:cs="Times New Roman"/>
          <w:sz w:val="28"/>
          <w:szCs w:val="28"/>
          <w:shd w:val="clear" w:color="auto" w:fill="auto"/>
          <w:lang w:val="ru-RU"/>
        </w:rPr>
        <w:t xml:space="preserve">Результатом предоставления гранта в 2025 году является реализация образовательными организациями высшего образования мероприятий, предусмотренных не менее одной программой развития созданной в рам</w:t>
      </w:r>
      <w:r>
        <w:rPr>
          <w:rFonts w:eastAsia="Times New Roman" w:cs="Times New Roman"/>
          <w:sz w:val="28"/>
          <w:szCs w:val="28"/>
          <w:shd w:val="clear" w:color="auto" w:fill="auto"/>
          <w:lang w:val="ru-RU"/>
        </w:rPr>
        <w:t xml:space="preserve">ках федерального проекта в партнерстве с высокотехнологичными компаниями передовой инженерной школы, направленной на развитие инженерной подготовки, прорывные разработки и иссле</w:t>
      </w:r>
      <w:r>
        <w:rPr>
          <w:rFonts w:eastAsia="Times New Roman" w:cs="Times New Roman"/>
          <w:color w:val="000000" w:themeColor="text1"/>
          <w:sz w:val="28"/>
          <w:szCs w:val="28"/>
          <w:shd w:val="clear" w:color="auto" w:fill="auto"/>
          <w:lang w:val="ru-RU"/>
        </w:rPr>
        <w:t xml:space="preserve">дования в приоритетных областях технологического развития Российской Федерации.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7"/>
        <w:ind w:left="0" w:firstLine="709"/>
        <w:rPr>
          <w:color w:val="000000" w:themeColor="text1"/>
          <w:highlight w:val="none"/>
          <w:shd w:val="clear" w:color="auto" w:fill="auto"/>
        </w:rPr>
      </w:pPr>
      <w:r>
        <w:rPr>
          <w:rFonts w:eastAsia="Times New Roman" w:cs="Times New Roman"/>
          <w:color w:val="000000" w:themeColor="text1"/>
          <w:sz w:val="28"/>
          <w:szCs w:val="28"/>
          <w:shd w:val="clear" w:color="auto" w:fill="auto"/>
          <w:lang w:val="ru-RU"/>
        </w:rPr>
        <w:t xml:space="preserve">Срок достижения результатов, указанных в абзаце первом настоящего пункта, – не позднее 31 декабря года предоставления гранта.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93"/>
        <w:numPr>
          <w:ilvl w:val="0"/>
          <w:numId w:val="0"/>
        </w:numPr>
        <w:ind w:left="0" w:firstLine="0"/>
        <w:tabs>
          <w:tab w:val="clear" w:pos="720" w:leader="none"/>
          <w:tab w:val="left" w:pos="948" w:leader="none"/>
        </w:tabs>
        <w:rPr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color w:val="000000" w:themeColor="text1"/>
          <w:sz w:val="28"/>
          <w:szCs w:val="28"/>
          <w:shd w:val="clear" w:color="auto" w:fill="auto"/>
        </w:rPr>
      </w:r>
      <w:r>
        <w:rPr>
          <w:color w:val="000000" w:themeColor="text1"/>
          <w:sz w:val="28"/>
          <w:szCs w:val="28"/>
          <w:highlight w:val="none"/>
          <w:shd w:val="clear" w:color="auto" w:fill="auto"/>
        </w:rPr>
      </w:r>
      <w:r>
        <w:rPr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881"/>
        <w:jc w:val="center"/>
        <w:rPr>
          <w:color w:val="000000" w:themeColor="text1"/>
          <w:spacing w:val="-2"/>
          <w:sz w:val="28"/>
          <w:szCs w:val="28"/>
          <w:shd w:val="clear" w:color="auto" w:fill="auto"/>
        </w:rPr>
      </w:pPr>
      <w:r>
        <w:rPr>
          <w:bCs/>
          <w:color w:val="000000" w:themeColor="text1"/>
          <w:sz w:val="28"/>
          <w:szCs w:val="28"/>
          <w:shd w:val="clear" w:color="auto" w:fill="auto"/>
          <w:lang w:val="en-US"/>
        </w:rPr>
        <w:t xml:space="preserve">II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. Размер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и</w:t>
      </w:r>
      <w:r>
        <w:rPr>
          <w:bCs/>
          <w:color w:val="000000" w:themeColor="text1"/>
          <w:spacing w:val="-3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условия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предоставления</w:t>
      </w:r>
      <w:r>
        <w:rPr>
          <w:bCs/>
          <w:color w:val="000000" w:themeColor="text1"/>
          <w:spacing w:val="-1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гранта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spacing w:val="-2"/>
          <w:sz w:val="28"/>
          <w:szCs w:val="28"/>
          <w:shd w:val="clear" w:color="auto" w:fill="auto"/>
        </w:rPr>
      </w:r>
    </w:p>
    <w:p>
      <w:pPr>
        <w:pStyle w:val="881"/>
        <w:jc w:val="center"/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bCs/>
          <w:color w:val="000000" w:themeColor="text1"/>
          <w:sz w:val="28"/>
          <w:szCs w:val="28"/>
          <w:shd w:val="clear" w:color="auto" w:fill="auto"/>
        </w:rPr>
      </w:r>
      <w:r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r>
      <w:r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881"/>
        <w:ind w:left="0" w:right="0" w:firstLine="680"/>
        <w:jc w:val="both"/>
        <w:spacing w:before="0" w:after="0"/>
        <w:widowControl w:val="off"/>
        <w:rPr>
          <w:color w:val="000000" w:themeColor="text1"/>
          <w:highlight w:val="none"/>
          <w:shd w:val="clear" w:color="auto" w:fill="auto"/>
        </w:rPr>
      </w:pPr>
      <w:r>
        <w:rPr>
          <w:color w:val="000000" w:themeColor="text1"/>
          <w:sz w:val="28"/>
          <w:szCs w:val="28"/>
          <w:shd w:val="clear" w:color="auto" w:fill="auto"/>
        </w:rPr>
        <w:t xml:space="preserve">7. Размер предоставляемого гранта образовательной организации высшего образования гранта составляет: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 w:themeColor="text1"/>
          <w:sz w:val="28"/>
          <w:szCs w:val="28"/>
          <w:shd w:val="clear" w:color="auto" w:fill="auto"/>
        </w:rPr>
      </w:r>
      <w:r>
        <w:rPr>
          <w:color w:val="000000" w:themeColor="text1"/>
          <w:sz w:val="28"/>
          <w:szCs w:val="28"/>
          <w:shd w:val="clear" w:color="auto" w:fill="auto"/>
        </w:rPr>
        <w:t xml:space="preserve">федеральному государственному бюджетному образовательному учреждению высшего образования «Казанский национальный исследовательский технический университет им. А.Н. Тупо</w:t>
      </w:r>
      <w:r>
        <w:rPr>
          <w:color w:val="000000"/>
          <w:sz w:val="28"/>
          <w:szCs w:val="28"/>
          <w:shd w:val="clear" w:color="auto" w:fill="auto"/>
        </w:rPr>
        <w:t xml:space="preserve">лева </w:t>
      </w:r>
      <w:r>
        <w:rPr>
          <w:caps w:val="0"/>
          <w:smallCaps w:val="0"/>
          <w:color w:val="000000"/>
          <w:spacing w:val="-15"/>
          <w:sz w:val="28"/>
          <w:szCs w:val="28"/>
          <w:shd w:val="clear" w:color="auto" w:fill="auto"/>
        </w:rPr>
        <w:t xml:space="preserve">–</w:t>
      </w:r>
      <w:r>
        <w:rPr>
          <w:color w:val="000000"/>
          <w:sz w:val="28"/>
          <w:szCs w:val="28"/>
          <w:shd w:val="clear" w:color="auto" w:fill="auto"/>
        </w:rPr>
        <w:t xml:space="preserve"> КАИ» </w:t>
      </w:r>
      <w:r>
        <w:rPr>
          <w:caps w:val="0"/>
          <w:smallCaps w:val="0"/>
          <w:color w:val="000000"/>
          <w:spacing w:val="-15"/>
          <w:sz w:val="28"/>
          <w:szCs w:val="28"/>
          <w:shd w:val="clear" w:color="auto" w:fill="auto"/>
        </w:rPr>
        <w:t xml:space="preserve">– </w:t>
      </w:r>
      <w:r>
        <w:rPr>
          <w:color w:val="000000"/>
          <w:sz w:val="28"/>
          <w:szCs w:val="28"/>
          <w:shd w:val="clear" w:color="auto" w:fill="auto"/>
        </w:rPr>
        <w:t xml:space="preserve"> 350 000 тыс.рублей;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государственному автономному образовательному учреждению высшего образования «Альметьевский государственный технологический университет «Высшая школа нефти» </w:t>
      </w:r>
      <w:r>
        <w:rPr>
          <w:caps w:val="0"/>
          <w:smallCaps w:val="0"/>
          <w:color w:val="000000"/>
          <w:spacing w:val="-15"/>
          <w:sz w:val="28"/>
          <w:szCs w:val="28"/>
          <w:shd w:val="clear" w:color="auto" w:fill="auto"/>
        </w:rPr>
        <w:t xml:space="preserve">–</w:t>
      </w:r>
      <w:r>
        <w:rPr>
          <w:color w:val="000000"/>
          <w:sz w:val="28"/>
          <w:szCs w:val="28"/>
          <w:shd w:val="clear" w:color="auto" w:fill="auto"/>
        </w:rPr>
        <w:t xml:space="preserve"> 200 000 тыс.рублей.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</w:pPr>
      <w:r>
        <w:rPr>
          <w:color w:val="000000"/>
          <w:sz w:val="28"/>
          <w:szCs w:val="28"/>
          <w:shd w:val="clear" w:color="auto" w:fill="auto"/>
        </w:rPr>
        <w:t xml:space="preserve">8. </w:t>
      </w:r>
      <w:r>
        <w:rPr>
          <w:rStyle w:val="885"/>
          <w:color w:val="000000"/>
          <w:sz w:val="28"/>
          <w:szCs w:val="28"/>
          <w:shd w:val="clear" w:color="auto" w:fill="auto"/>
        </w:rPr>
        <w:t xml:space="preserve">Способом предоставления гранта является финансовое обеспечение затрат.</w:t>
      </w:r>
      <w:r/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9. К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направлениям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расходов,</w:t>
      </w:r>
      <w:r>
        <w:rPr>
          <w:spacing w:val="4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источником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финансового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обеспечения</w:t>
      </w:r>
      <w:r>
        <w:rPr>
          <w:spacing w:val="4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которых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является</w:t>
      </w:r>
      <w:r>
        <w:rPr>
          <w:spacing w:val="46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грант, относятся: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оплата труда сотрудников образовательных организаций высшего образования, задействованных в обеспечении деятельности передовой инженерной школы;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начисления на выплаты по оплате труда сотрудников образовательных организаций высшего образования, задействованных в обеспечении деятельности передовой инженерной школы;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оплата работ, услуг физических и юридиче</w:t>
      </w:r>
      <w:r>
        <w:rPr>
          <w:color w:val="000000"/>
          <w:sz w:val="28"/>
          <w:szCs w:val="28"/>
          <w:shd w:val="clear" w:color="auto" w:fill="auto"/>
        </w:rPr>
        <w:t xml:space="preserve">ских лиц, в том числе услуг связи, доступа к информационно-телекоммуникационной сети «Интернет», услуг в области информационных технологий, разработки программного обеспечения, необходимых для реализации целей, предусмотренных пунктом 3 настоящего Порядка;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оплата сотрудникам образовательных организаций высшего образования, задействов</w:t>
      </w:r>
      <w:r>
        <w:rPr>
          <w:color w:val="000000"/>
          <w:sz w:val="28"/>
          <w:szCs w:val="28"/>
          <w:shd w:val="clear" w:color="auto" w:fill="auto"/>
        </w:rPr>
        <w:t xml:space="preserve">анным в обеспечении деятельности передовой инженерной школы, командировочных расходов, связанных с целями, предусмотренными пунктом 3 настоящего Порядка, определяемых коллективным договором, соглашениями, локальными нормативными актами, трудовым договором;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приобретение товаров, непроизведенных активов, нематериальных активов, материальных запасов, включая приобретение программного обеспечения и оборудования, необходимых для реализации целей, предусмотренных пунктом 3 настоящего Порядка;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приобретение основных средств, необходимых для реализации целей, предусмотренных пунктом 3 настоящего Порядка;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выплаты стипендий и иных форм материальной помощи обучающимся </w:t>
      </w:r>
      <w:r>
        <w:rPr>
          <w:color w:val="000000"/>
          <w:sz w:val="28"/>
          <w:szCs w:val="28"/>
          <w:shd w:val="clear" w:color="auto" w:fill="auto"/>
        </w:rPr>
        <w:t xml:space="preserve">по образовательным программам передовой инженерной школы,</w:t>
      </w:r>
      <w:r>
        <w:rPr>
          <w:color w:val="000000"/>
          <w:sz w:val="28"/>
          <w:szCs w:val="28"/>
          <w:shd w:val="clear" w:color="auto" w:fill="auto"/>
        </w:rPr>
        <w:t xml:space="preserve"> размеры которых определяются постановлением Правительства Российской Федерации от 17 декабря  2016 г. № 1390 «О формировании стипендиального фонда», </w:t>
      </w:r>
      <w:r>
        <w:rPr>
          <w:color w:val="000000"/>
          <w:sz w:val="28"/>
          <w:szCs w:val="28"/>
          <w:shd w:val="clear" w:color="auto" w:fill="auto"/>
        </w:rPr>
        <w:t xml:space="preserve">а также локальными нормативными актами образовательной организации высшего образования;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оплата работ, услуг физических и юридических лиц, патентных и иных пошлин за совершение юридически значимых действий, связанных с патентом на и</w:t>
      </w:r>
      <w:r>
        <w:rPr>
          <w:color w:val="000000"/>
          <w:sz w:val="28"/>
          <w:szCs w:val="28"/>
          <w:shd w:val="clear" w:color="auto" w:fill="auto"/>
        </w:rPr>
        <w:t xml:space="preserve">зобретение, полезную модель, промышленный образец или селекционное достижение, с государственной регистрацией программы для ЭВМ, базы данных, топологии интегральной микросхемы, необходимых для реализации целей, предусмотренных пунктом 3 настоящего Порядка.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1"/>
        <w:ind w:firstLine="709"/>
        <w:jc w:val="both"/>
        <w:rPr>
          <w:highlight w:val="none"/>
          <w:shd w:val="clear" w:color="auto" w:fill="auto"/>
        </w:rPr>
      </w:pPr>
      <w:r>
        <w:rPr>
          <w:color w:val="000000"/>
          <w:sz w:val="28"/>
          <w:szCs w:val="28"/>
          <w:shd w:val="clear" w:color="auto" w:fill="auto"/>
        </w:rPr>
        <w:t xml:space="preserve">10. Условиями предоставле</w:t>
      </w:r>
      <w:r>
        <w:rPr>
          <w:sz w:val="28"/>
          <w:szCs w:val="28"/>
          <w:shd w:val="clear" w:color="auto" w:fill="auto"/>
        </w:rPr>
        <w:t xml:space="preserve">ния</w:t>
      </w:r>
      <w:r>
        <w:rPr>
          <w:spacing w:val="-1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гранта</w:t>
      </w:r>
      <w:r>
        <w:rPr>
          <w:spacing w:val="-9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являются: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наличие у образовательных организаций высшего образования программы развития передовой инженерной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школы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период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не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менее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7 лет (включая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год, в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котором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предоставляется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грант) по одному или н</w:t>
      </w:r>
      <w:r>
        <w:rPr>
          <w:sz w:val="28"/>
          <w:szCs w:val="28"/>
          <w:shd w:val="clear" w:color="auto" w:fill="auto"/>
        </w:rPr>
        <w:t xml:space="preserve">ескольким приоритетным направлениям – «Технологии интеллектуальных производств», «Автотранспорт с низким/нулевым углеродным следом», «Интеллектуальный автомобиль», «Технологии материалов», «Цифровые технологии», «Композитные технологии», «Аддитивные технол</w:t>
      </w:r>
      <w:r>
        <w:rPr>
          <w:sz w:val="28"/>
          <w:szCs w:val="28"/>
          <w:shd w:val="clear" w:color="auto" w:fill="auto"/>
        </w:rPr>
        <w:t xml:space="preserve">огии», «Микроэлектроника и радиоэлектронная аппаратура», «Прикладная геология», «Горное дело», «Нефтегазовое дело», «Геодезия», «Программная инженерия» и «Искусственный интеллект и цифровые технологии», составленной в электронном виде в личном кабинете инф</w:t>
      </w:r>
      <w:r>
        <w:rPr>
          <w:sz w:val="28"/>
          <w:szCs w:val="28"/>
          <w:shd w:val="clear" w:color="auto" w:fill="auto"/>
        </w:rPr>
        <w:t xml:space="preserve">ормационной системы «Передовые инженерные школы» https://lk.engineers2030.ru/, сформированной и утвержденной квалифицированной электронной подписью руководителя или лица, уполномоченного действовать от имени образовательной организации высшего образования;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запрет на приобретение образовательной организацией высшего образования, а также иными юридическими лицами, по</w:t>
      </w:r>
      <w:r>
        <w:rPr>
          <w:sz w:val="28"/>
          <w:szCs w:val="28"/>
          <w:shd w:val="clear" w:color="auto" w:fill="auto"/>
        </w:rPr>
        <w:t xml:space="preserve">лучающими средства на основании договоров (соглашений), заключенных с образовательной организацией высшего образования, за счет полученных из бюджета Республики Татарстан средств иностранной валюты, за исключением операций, осуществляемых в соответствии с валютным зако</w:t>
      </w:r>
      <w:r>
        <w:rPr>
          <w:sz w:val="28"/>
          <w:szCs w:val="28"/>
          <w:shd w:val="clear" w:color="auto" w:fill="auto"/>
        </w:rPr>
        <w:t xml:space="preserve">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пунктом 9 настоящего </w:t>
      </w:r>
      <w:r>
        <w:rPr>
          <w:spacing w:val="-2"/>
          <w:sz w:val="28"/>
          <w:szCs w:val="28"/>
          <w:shd w:val="clear" w:color="auto" w:fill="auto"/>
        </w:rPr>
        <w:t xml:space="preserve">Порядка;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согласие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образовательной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организации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высшего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образования,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также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лиц,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получающих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средства на основании договоров (соглашений), </w:t>
      </w:r>
      <w:r>
        <w:rPr>
          <w:sz w:val="28"/>
          <w:szCs w:val="28"/>
          <w:shd w:val="clear" w:color="auto" w:fill="auto"/>
        </w:rPr>
        <w:t xml:space="preserve">заключенных с образовательной организацией высшего образования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</w:t>
      </w:r>
      <w:r>
        <w:rPr>
          <w:sz w:val="28"/>
          <w:szCs w:val="28"/>
          <w:shd w:val="clear" w:color="auto" w:fill="auto"/>
        </w:rPr>
        <w:t xml:space="preserve"> коммерческих организаций с участием таких товариществ и обществ в их уставных (складочных) капиталах), на осуществление в отношении их проверки Академией наук Республики Татарстан соблюдения порядка и условий предоставления гранта, в том числе в части дос</w:t>
      </w:r>
      <w:r>
        <w:rPr>
          <w:sz w:val="28"/>
          <w:szCs w:val="28"/>
          <w:shd w:val="clear" w:color="auto" w:fill="auto"/>
        </w:rPr>
        <w:t xml:space="preserve">тижения результатов предоставления гранта, а также проверки органами государственного финансового контроля в соответствии со статьями 268.1 и 269.2 Бюджетного кодекса Российской Федерации и на включение таких положений в соглашение о предоставлении гранта;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наличие документов, подтверждающих готовность высокотехнологичной компании осуществлять поддержку развития передовой инженерной школы, а также софинансирование реализации мероприятий программы развития передовой инженерной школы.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11. Образовательные организации высшего образования не позднее чем на          1 число месяца, предшествующего дате подачи заявки на предоставление гранта (далее – заявка), должны соответствовать следующим требованиям: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отсутствует</w:t>
      </w:r>
      <w:r>
        <w:rPr>
          <w:spacing w:val="4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просроченная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задолженность</w:t>
      </w:r>
      <w:r>
        <w:rPr>
          <w:spacing w:val="4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возврату</w:t>
      </w:r>
      <w:r>
        <w:rPr>
          <w:spacing w:val="4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бюджет</w:t>
      </w:r>
      <w:r>
        <w:rPr>
          <w:spacing w:val="4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Республики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Татарстан</w:t>
      </w:r>
      <w:r>
        <w:rPr>
          <w:spacing w:val="45"/>
          <w:sz w:val="28"/>
          <w:szCs w:val="28"/>
          <w:shd w:val="clear" w:color="auto" w:fill="auto"/>
        </w:rPr>
        <w:t xml:space="preserve"> </w:t>
      </w:r>
      <w:r>
        <w:rPr>
          <w:spacing w:val="-4"/>
          <w:sz w:val="28"/>
          <w:szCs w:val="28"/>
          <w:shd w:val="clear" w:color="auto" w:fill="auto"/>
        </w:rPr>
        <w:t xml:space="preserve">иных </w:t>
      </w:r>
      <w:r>
        <w:rPr>
          <w:sz w:val="28"/>
          <w:szCs w:val="28"/>
          <w:shd w:val="clear" w:color="auto" w:fill="auto"/>
        </w:rPr>
        <w:t xml:space="preserve">субсидий, бюджетных инвестиций, а также иная просроченная (неурегулированная) задолженность по денежным обязательствам перед Республикой Татарстан (за исключением случаев, установленных Кабинетом Министров Республики Татарстан);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tabs>
          <w:tab w:val="clear" w:pos="720" w:leader="none"/>
          <w:tab w:val="left" w:pos="1553" w:leader="none"/>
          <w:tab w:val="left" w:pos="2408" w:leader="none"/>
          <w:tab w:val="left" w:pos="4097" w:leader="none"/>
          <w:tab w:val="left" w:pos="5928" w:leader="none"/>
          <w:tab w:val="left" w:pos="6816" w:leader="none"/>
          <w:tab w:val="left" w:pos="7525" w:leader="none"/>
          <w:tab w:val="left" w:pos="9077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не находятся в процессе реорганизации (за исключением реорганизации в форме присоединения к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образовательной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организации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высшего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образования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другого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юридического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лица),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ликвидации,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отношении них не введена процедура банкротства, деятельность образовательной организации высшего образования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не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приостановлена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порядке,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предусмотренном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законодательством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Российской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Федерации; в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реестре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дисквалифицированных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отсутствуют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сведения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дисквалифицированных </w:t>
      </w:r>
      <w:r>
        <w:rPr>
          <w:spacing w:val="-2"/>
          <w:sz w:val="28"/>
          <w:szCs w:val="28"/>
          <w:shd w:val="clear" w:color="auto" w:fill="auto"/>
        </w:rPr>
        <w:t xml:space="preserve">руководителе,</w:t>
      </w:r>
      <w:r>
        <w:rPr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членах</w:t>
      </w:r>
      <w:r>
        <w:rPr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коллегиального исполнительного</w:t>
      </w:r>
      <w:r>
        <w:rPr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органа,</w:t>
      </w:r>
      <w:r>
        <w:rPr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лице,</w:t>
      </w:r>
      <w:r>
        <w:rPr>
          <w:sz w:val="28"/>
          <w:szCs w:val="28"/>
          <w:shd w:val="clear" w:color="auto" w:fill="auto"/>
        </w:rPr>
        <w:tab/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исполняющем</w:t>
      </w:r>
      <w:r>
        <w:rPr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функции </w:t>
      </w:r>
      <w:r>
        <w:rPr>
          <w:sz w:val="28"/>
          <w:szCs w:val="28"/>
          <w:shd w:val="clear" w:color="auto" w:fill="auto"/>
        </w:rPr>
        <w:t xml:space="preserve">единоличного исполнительного органа, или главном бухгалтере образовательной организации высшего </w:t>
      </w:r>
      <w:r>
        <w:rPr>
          <w:spacing w:val="-2"/>
          <w:sz w:val="28"/>
          <w:szCs w:val="28"/>
          <w:shd w:val="clear" w:color="auto" w:fill="auto"/>
        </w:rPr>
        <w:t xml:space="preserve">образования;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являются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иностранным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юридическим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лицом,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том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числе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местом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регистрации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которого является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государство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или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территория,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включенные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утвержденный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Министерством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финансов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Российской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Федерации перечень</w:t>
      </w:r>
      <w:r>
        <w:rPr>
          <w:spacing w:val="40"/>
          <w:sz w:val="28"/>
          <w:szCs w:val="28"/>
          <w:shd w:val="clear" w:color="auto" w:fill="auto"/>
        </w:rPr>
        <w:t xml:space="preserve"> г</w:t>
      </w:r>
      <w:r>
        <w:rPr>
          <w:sz w:val="28"/>
          <w:szCs w:val="28"/>
          <w:shd w:val="clear" w:color="auto" w:fill="auto"/>
        </w:rPr>
        <w:t xml:space="preserve">осударств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территорий,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используемых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для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промежуточного (офшорного)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владения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активами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Российской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Федерации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(далее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-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офшорные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компании),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также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российским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юридическим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лицом,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уставном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(складочном)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капитале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которого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доля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прямого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или косвенного (через третьих лиц) участия офшорных компаний в совокупности превышает 25 процентов (если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иное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предусмотрено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законодательством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Российской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Федерации).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расчете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доли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участия офшорных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компаний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капитале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российских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юридических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не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учитывается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прямое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(или)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косвенное участие</w:t>
      </w:r>
      <w:r>
        <w:rPr>
          <w:spacing w:val="3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офшорных</w:t>
      </w:r>
      <w:r>
        <w:rPr>
          <w:spacing w:val="3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компаний</w:t>
      </w:r>
      <w:r>
        <w:rPr>
          <w:spacing w:val="3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3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капитале</w:t>
      </w:r>
      <w:r>
        <w:rPr>
          <w:spacing w:val="3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публичных</w:t>
      </w:r>
      <w:r>
        <w:rPr>
          <w:spacing w:val="3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акционерных</w:t>
      </w:r>
      <w:r>
        <w:rPr>
          <w:spacing w:val="3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обществ</w:t>
      </w:r>
      <w:r>
        <w:rPr>
          <w:spacing w:val="3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(в</w:t>
      </w:r>
      <w:r>
        <w:rPr>
          <w:spacing w:val="3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том</w:t>
      </w:r>
      <w:r>
        <w:rPr>
          <w:spacing w:val="3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числе</w:t>
      </w:r>
      <w:r>
        <w:rPr>
          <w:spacing w:val="3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со</w:t>
      </w:r>
      <w:r>
        <w:rPr>
          <w:spacing w:val="3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статусом международной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компании),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акции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которых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обращаются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организованных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торгах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Российской Федерации,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также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косвенное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участие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офшорных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компаний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капитале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других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российских юридических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лиц,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реализованное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через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участие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капитале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указанных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публичных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акционерных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обществ;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не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получают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средства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из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бюджета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Республики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Татарстан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основании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иных</w:t>
      </w:r>
      <w:r>
        <w:rPr>
          <w:spacing w:val="4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нормативных правовых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актов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Республики</w:t>
      </w:r>
      <w:r>
        <w:rPr>
          <w:spacing w:val="-7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Татарстан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цели,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указанн</w:t>
      </w:r>
      <w:r>
        <w:rPr>
          <w:spacing w:val="-2"/>
          <w:sz w:val="28"/>
          <w:szCs w:val="28"/>
          <w:shd w:val="clear" w:color="auto" w:fill="auto"/>
        </w:rPr>
        <w:t xml:space="preserve">ые в пункте 3 на</w:t>
      </w:r>
      <w:r>
        <w:rPr>
          <w:sz w:val="28"/>
          <w:szCs w:val="28"/>
          <w:shd w:val="clear" w:color="auto" w:fill="auto"/>
        </w:rPr>
        <w:t xml:space="preserve">стоящего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Порядка;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не находятся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не находятся в составляемых в рамках реализации полномочий, предусмотренных главой VII Ус</w:t>
      </w:r>
      <w:r>
        <w:rPr>
          <w:sz w:val="28"/>
          <w:szCs w:val="28"/>
          <w:shd w:val="clear" w:color="auto" w:fill="auto"/>
        </w:rPr>
        <w:t xml:space="preserve">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не являются иностранным агентом в соответствии с Федеральным законом от 14</w:t>
      </w:r>
      <w:r>
        <w:rPr>
          <w:spacing w:val="1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июля</w:t>
      </w:r>
      <w:r>
        <w:rPr>
          <w:spacing w:val="15"/>
          <w:sz w:val="28"/>
          <w:szCs w:val="28"/>
          <w:shd w:val="clear" w:color="auto" w:fill="auto"/>
        </w:rPr>
        <w:t xml:space="preserve"> </w:t>
      </w:r>
      <w:r>
        <w:rPr>
          <w:spacing w:val="-4"/>
          <w:sz w:val="28"/>
          <w:szCs w:val="28"/>
          <w:shd w:val="clear" w:color="auto" w:fill="auto"/>
        </w:rPr>
        <w:t xml:space="preserve">2022 </w:t>
      </w:r>
      <w:r>
        <w:rPr>
          <w:sz w:val="28"/>
          <w:szCs w:val="28"/>
          <w:shd w:val="clear" w:color="auto" w:fill="auto"/>
        </w:rPr>
        <w:t xml:space="preserve">года</w:t>
      </w:r>
      <w:r>
        <w:rPr>
          <w:spacing w:val="-8"/>
          <w:sz w:val="28"/>
          <w:szCs w:val="28"/>
          <w:shd w:val="clear" w:color="auto" w:fill="auto"/>
        </w:rPr>
        <w:t xml:space="preserve"> №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255-ФЗ</w:t>
      </w:r>
      <w:r>
        <w:rPr>
          <w:spacing w:val="-5"/>
          <w:sz w:val="28"/>
          <w:szCs w:val="28"/>
          <w:shd w:val="clear" w:color="auto" w:fill="auto"/>
        </w:rPr>
        <w:t xml:space="preserve"> «</w:t>
      </w:r>
      <w:r>
        <w:rPr>
          <w:sz w:val="28"/>
          <w:szCs w:val="28"/>
          <w:shd w:val="clear" w:color="auto" w:fill="auto"/>
        </w:rPr>
        <w:t xml:space="preserve">О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контроле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за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деятельностью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лиц,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находящихся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под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иностранным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влиянием».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pacing w:val="-2"/>
          <w:sz w:val="28"/>
          <w:szCs w:val="28"/>
          <w:shd w:val="clear" w:color="auto" w:fill="auto"/>
        </w:rPr>
        <w:t xml:space="preserve">12. </w:t>
      </w:r>
      <w:r>
        <w:rPr>
          <w:sz w:val="28"/>
          <w:szCs w:val="28"/>
          <w:shd w:val="clear" w:color="auto" w:fill="auto"/>
        </w:rPr>
        <w:t xml:space="preserve">Для получения гранта образовательные организации высшего образования в течение 15 календарных дне</w:t>
      </w:r>
      <w:r>
        <w:rPr>
          <w:sz w:val="28"/>
          <w:szCs w:val="28"/>
          <w:shd w:val="clear" w:color="auto" w:fill="auto"/>
        </w:rPr>
        <w:t xml:space="preserve">й, следующих за днем размещения Академией наук Республики Татарстан информации о гранте на едином портале, представляют в Академию наук Республики Татарстан заявку по форме согласно приложению к настоящему Порядку, содержащую в том числе наименование приор</w:t>
      </w:r>
      <w:r>
        <w:rPr>
          <w:sz w:val="28"/>
          <w:szCs w:val="28"/>
          <w:shd w:val="clear" w:color="auto" w:fill="auto"/>
        </w:rPr>
        <w:t xml:space="preserve">итетного направления передовой инженерной школы, указанного в пункте 10 настоящего Порядка, размер гранта, а также следующие документы, заверенные руководителем или лицом, уполномоченным действовать от имени образовательной организации высшего образования: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/>
      <w:bookmarkStart w:id="0" w:name="_bookmark8"/>
      <w:r/>
      <w:bookmarkEnd w:id="0"/>
      <w:r>
        <w:rPr>
          <w:sz w:val="28"/>
          <w:szCs w:val="28"/>
          <w:shd w:val="clear" w:color="auto" w:fill="auto"/>
        </w:rPr>
        <w:t xml:space="preserve">а) копию </w:t>
      </w:r>
      <w:r>
        <w:rPr>
          <w:sz w:val="28"/>
          <w:szCs w:val="28"/>
          <w:shd w:val="clear" w:color="auto" w:fill="auto"/>
        </w:rPr>
        <w:t xml:space="preserve">актуальной</w:t>
      </w:r>
      <w:r>
        <w:rPr>
          <w:sz w:val="28"/>
          <w:szCs w:val="28"/>
          <w:shd w:val="clear" w:color="auto" w:fill="auto"/>
        </w:rPr>
        <w:t xml:space="preserve"> программы развития передовой инженерной школы на период не менее 7 лет (включая год, в котором предоставляется грант), составленной в электронном виде в личном кабинете информационной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системы</w:t>
      </w:r>
      <w:r>
        <w:rPr>
          <w:spacing w:val="-3"/>
          <w:sz w:val="28"/>
          <w:szCs w:val="28"/>
          <w:shd w:val="clear" w:color="auto" w:fill="auto"/>
        </w:rPr>
        <w:t xml:space="preserve"> «</w:t>
      </w:r>
      <w:r>
        <w:rPr>
          <w:sz w:val="28"/>
          <w:szCs w:val="28"/>
          <w:shd w:val="clear" w:color="auto" w:fill="auto"/>
        </w:rPr>
        <w:t xml:space="preserve">Передовые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инженерные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школы»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https://lk.engineers2030.ru/,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сформированной и утвержденной квалифицированной электронной подписью руководителя или лица, уполномоченного действовать от имени образовательной организации высшего образования;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б) справку, подтверждающую объемы софинансирования реализации мероприятий программы развития передовой инженерной школы высокотехнологичной компанией;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в)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копию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устава;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г) гарантийное письмо, подпи</w:t>
      </w:r>
      <w:r>
        <w:rPr>
          <w:sz w:val="28"/>
          <w:szCs w:val="28"/>
          <w:shd w:val="clear" w:color="auto" w:fill="auto"/>
        </w:rPr>
        <w:t xml:space="preserve">санное руководителем образовательной организации высшего образования, о том, что образовательная организация высшего образования не находится в процессе реорганизации (за исключением реорганизации в форме присоединения к образовательной организации высшего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образования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другого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юридического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лица),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ликвидации,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отношении</w:t>
      </w:r>
      <w:r>
        <w:rPr>
          <w:spacing w:val="80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образовательной организации высшего образования не введена процедура банкротства, деятельность образовательной организации высшего образования не приостановлена в порядке, предусмотренном законодательством Российской Федерации;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д) гарантийное письмо, подписанное руководителем образовательной организации высшего образования, о том, что образовательная организация высшего образования не является иностранным юридическим лицом, в том числе офшорной компанией, а та</w:t>
      </w:r>
      <w:r>
        <w:rPr>
          <w:sz w:val="28"/>
          <w:szCs w:val="28"/>
          <w:shd w:val="clear" w:color="auto" w:fill="auto"/>
        </w:rPr>
        <w:t xml:space="preserve">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е) гарантийное письмо, подписанное руководителем образовательной организации высшего образования, о том, что образовательная организация высшего образования не является иностранным агентом в соответствии с Федеральным законом</w:t>
      </w:r>
      <w:r>
        <w:rPr>
          <w:color w:val="0f6bbf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от 14 июля 2022 года № 255-ФЗ «О контроле за деятельностью лиц, находящихся под иностранным влиянием»;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ж) гарантийное письмо, подписанное руководителем образовательной организации высшего образования, о том, что образовательная организация высшего образования не получает средства из бюджета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Республики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Татарстан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основании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иных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нормативных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правовых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актов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Республики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Татарстан на цели, указанные в пункте 3 настоящего Порядка;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з) гарантийное письмо, подписанное руководителем образовательной организации высшего образования, о том, что образовательная организация высшего образования не имеет просроченной задолженности по возвр</w:t>
      </w:r>
      <w:r>
        <w:rPr>
          <w:sz w:val="28"/>
          <w:szCs w:val="28"/>
          <w:shd w:val="clear" w:color="auto" w:fill="auto"/>
        </w:rPr>
        <w:t xml:space="preserve">ату в бюджет Республики Татарстан иных субсидий, бюджетных инвестиций, а также иной просроченной (неурегулированной) задолженности по денежным обязательствам перед Республикой Татарстан (за исключением случаев, установленных Кабинетом Министров Республики </w:t>
      </w:r>
      <w:r>
        <w:rPr>
          <w:spacing w:val="-2"/>
          <w:sz w:val="28"/>
          <w:szCs w:val="28"/>
          <w:shd w:val="clear" w:color="auto" w:fill="auto"/>
        </w:rPr>
        <w:t xml:space="preserve">Татарстан).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13. Образовательная организация высшего образования вправе по собственной инициативе представить следующие документы: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а) справку об исполнении обязанности по уплате налогов, сборов, страховых взносов, пеней, штрафов, процентов по состоянию на дату формирования справки на основании данных налогового орган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а в электронной форме по телекоммуникационным каналам связи или через личный кабинет налогоплательщика либо на бумажном носителе по форме, утвержденной приказом Федеральной налоговой службы от 23 ноября 2022 г. № ЕД-7-8/1123@ «Об утвержд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б) выписку из реестра дисквалифицированных лиц и (или) справку об отсутствии запрашиваемой информаци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и по формам, утвержденным приказом Федеральной налоговой службы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ных лиц и справки об отсутствии запрашиваемой информации», на руководителя, членов коллегиального исполнительного органа, лиц, исполняющих функции единоличного исполнительного органа, или главного бухгалтера образовательной организации высшего образования;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в) сведения из перечня организаций и физических лиц, в отношении которых имеются сведения об их причастности к экстремистской деятельности или терроризму, и перечня организаций и физических лиц,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 связанных с террористическими организациями и террористами или с распространением оружия массового уничтожения, формируемых Федеральной службой по финансовому мониторингу, об отсутствии образовательной организации высшего образования в указанных перечнях.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В случае непредставления образовательной организацией высшего образования документов, указанных в настоящ</w:t>
      </w:r>
      <w:r>
        <w:rPr>
          <w:sz w:val="28"/>
          <w:szCs w:val="28"/>
          <w:shd w:val="clear" w:color="auto" w:fill="auto"/>
        </w:rPr>
        <w:t xml:space="preserve">ем</w:t>
      </w:r>
      <w:r>
        <w:rPr>
          <w:sz w:val="28"/>
          <w:szCs w:val="28"/>
          <w:shd w:val="clear" w:color="auto" w:fill="auto"/>
        </w:rPr>
        <w:t xml:space="preserve"> пункт</w:t>
      </w:r>
      <w:r>
        <w:rPr>
          <w:sz w:val="28"/>
          <w:szCs w:val="28"/>
          <w:shd w:val="clear" w:color="auto" w:fill="auto"/>
        </w:rPr>
        <w:t xml:space="preserve">е</w:t>
      </w:r>
      <w:r>
        <w:rPr>
          <w:sz w:val="28"/>
          <w:szCs w:val="28"/>
          <w:shd w:val="clear" w:color="auto" w:fill="auto"/>
        </w:rPr>
        <w:t xml:space="preserve">, Академия наук Республики Татарстан запрашивает указанные документы в порядке межведомственного информационного взаимодействия.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Каждая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образовательная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организация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высшего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образования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вправе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подать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не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более</w:t>
      </w:r>
      <w:r>
        <w:rPr>
          <w:spacing w:val="73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одной заявки.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pacing w:val="-2"/>
          <w:sz w:val="28"/>
          <w:szCs w:val="28"/>
          <w:shd w:val="clear" w:color="auto" w:fill="auto"/>
        </w:rPr>
        <w:t xml:space="preserve">14. Документы представляются на бумажном носителе уполномоченным представителем образовательной организации высшего образования или почтовым отправлением по месту нахождения Академии наук Республики Татарстан.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rFonts w:eastAsia="Times New Roman" w:cs="Times New Roman"/>
          <w:color w:val="000000"/>
          <w:spacing w:val="-2"/>
          <w:sz w:val="28"/>
          <w:szCs w:val="28"/>
          <w:shd w:val="clear" w:color="auto" w:fill="auto"/>
          <w:lang w:val="ru-RU" w:eastAsia="en-US" w:bidi="ar-SA"/>
        </w:rPr>
        <w:t xml:space="preserve">Все документы должны быть четко напечатаны. Подчистки и исправления не допускаются, за исключением исправлений, скреплен</w:t>
      </w:r>
      <w:r>
        <w:rPr>
          <w:rFonts w:eastAsia="Times New Roman" w:cs="Times New Roman"/>
          <w:color w:val="000000"/>
          <w:spacing w:val="-2"/>
          <w:sz w:val="28"/>
          <w:szCs w:val="28"/>
          <w:shd w:val="clear" w:color="auto" w:fill="auto"/>
          <w:lang w:val="ru-RU" w:eastAsia="en-US" w:bidi="ar-SA"/>
        </w:rPr>
        <w:t xml:space="preserve">ных печатью (при наличии) и заверенных подписью руководителя образовательной организации высшего образования или уполномоченного лица. Все листы заявки должны быть пронумерованы. Заявка должна быть прошита и заверена подписью руководителя образовательной о</w:t>
      </w:r>
      <w:r>
        <w:rPr>
          <w:rFonts w:eastAsia="Times New Roman" w:cs="Times New Roman"/>
          <w:color w:val="000000"/>
          <w:spacing w:val="-2"/>
          <w:sz w:val="28"/>
          <w:szCs w:val="28"/>
          <w:shd w:val="clear" w:color="auto" w:fill="auto"/>
          <w:lang w:val="ru-RU" w:eastAsia="en-US" w:bidi="ar-SA"/>
        </w:rPr>
        <w:t xml:space="preserve">рганизации или уполномоченного лица и печатью (при наличии) на обороте заявки с указанием общего количества листов. За недостоверность представляемых сведений образовательная организация несет ответственность согласно законодательству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pacing w:val="-2"/>
          <w:sz w:val="28"/>
          <w:szCs w:val="28"/>
          <w:shd w:val="clear" w:color="auto" w:fill="auto"/>
        </w:rPr>
        <w:t xml:space="preserve">15. </w:t>
      </w:r>
      <w:r>
        <w:rPr>
          <w:sz w:val="28"/>
          <w:szCs w:val="28"/>
          <w:shd w:val="clear" w:color="auto" w:fill="auto"/>
        </w:rPr>
        <w:t xml:space="preserve">Поступившая</w:t>
      </w:r>
      <w:r>
        <w:rPr>
          <w:spacing w:val="5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5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Академию</w:t>
      </w:r>
      <w:r>
        <w:rPr>
          <w:spacing w:val="5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наук</w:t>
      </w:r>
      <w:r>
        <w:rPr>
          <w:spacing w:val="5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Республики</w:t>
      </w:r>
      <w:r>
        <w:rPr>
          <w:spacing w:val="5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Татарстан</w:t>
      </w:r>
      <w:r>
        <w:rPr>
          <w:spacing w:val="5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заявка</w:t>
      </w:r>
      <w:r>
        <w:rPr>
          <w:spacing w:val="5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регистрируется</w:t>
      </w:r>
      <w:r>
        <w:rPr>
          <w:spacing w:val="5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</w:t>
      </w:r>
      <w:r>
        <w:rPr>
          <w:spacing w:val="55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течение </w:t>
      </w:r>
      <w:r>
        <w:rPr>
          <w:sz w:val="28"/>
          <w:szCs w:val="28"/>
          <w:shd w:val="clear" w:color="auto" w:fill="auto"/>
        </w:rPr>
        <w:t xml:space="preserve">одного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рабочего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дня</w:t>
      </w:r>
      <w:r>
        <w:rPr>
          <w:spacing w:val="-2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со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дня</w:t>
      </w:r>
      <w:r>
        <w:rPr>
          <w:spacing w:val="-1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поступления.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16. Академия наук Республики Татарстан в пятидневный срок, исчисляемый в рабочих днях, со дня поступления заявки: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рассматривает</w:t>
      </w:r>
      <w:r>
        <w:rPr>
          <w:spacing w:val="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заявки</w:t>
      </w:r>
      <w:r>
        <w:rPr>
          <w:spacing w:val="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</w:t>
      </w:r>
      <w:r>
        <w:rPr>
          <w:spacing w:val="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соответствие</w:t>
      </w:r>
      <w:r>
        <w:rPr>
          <w:spacing w:val="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условиям</w:t>
      </w:r>
      <w:r>
        <w:rPr>
          <w:spacing w:val="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и</w:t>
      </w:r>
      <w:r>
        <w:rPr>
          <w:spacing w:val="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требованиям,</w:t>
      </w:r>
      <w:r>
        <w:rPr>
          <w:spacing w:val="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установленным пунктами 10 и 11 настоящего Порядка;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принимает решение о предоставлении гранта и заключении соглашения о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предоставлении</w:t>
      </w:r>
      <w:r>
        <w:rPr>
          <w:spacing w:val="-3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гранта (далее – соглашение) или об отказе в предоставлении гранта.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17. Основаниями для отказа в предоставлении гранта образовательной организации высшего образования являются: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несоответствие</w:t>
      </w:r>
      <w:r>
        <w:rPr>
          <w:spacing w:val="78"/>
          <w:sz w:val="28"/>
          <w:szCs w:val="28"/>
          <w:shd w:val="clear" w:color="auto" w:fill="auto"/>
        </w:rPr>
        <w:t xml:space="preserve">  </w:t>
      </w:r>
      <w:r>
        <w:rPr>
          <w:sz w:val="28"/>
          <w:szCs w:val="28"/>
          <w:shd w:val="clear" w:color="auto" w:fill="auto"/>
        </w:rPr>
        <w:t xml:space="preserve">представленных</w:t>
      </w:r>
      <w:r>
        <w:rPr>
          <w:spacing w:val="78"/>
          <w:sz w:val="28"/>
          <w:szCs w:val="28"/>
          <w:shd w:val="clear" w:color="auto" w:fill="auto"/>
        </w:rPr>
        <w:t xml:space="preserve">  </w:t>
      </w:r>
      <w:r>
        <w:rPr>
          <w:sz w:val="28"/>
          <w:szCs w:val="28"/>
          <w:shd w:val="clear" w:color="auto" w:fill="auto"/>
        </w:rPr>
        <w:t xml:space="preserve">образовательной</w:t>
      </w:r>
      <w:r>
        <w:rPr>
          <w:spacing w:val="79"/>
          <w:sz w:val="28"/>
          <w:szCs w:val="28"/>
          <w:shd w:val="clear" w:color="auto" w:fill="auto"/>
        </w:rPr>
        <w:t xml:space="preserve">  </w:t>
      </w:r>
      <w:r>
        <w:rPr>
          <w:sz w:val="28"/>
          <w:szCs w:val="28"/>
          <w:shd w:val="clear" w:color="auto" w:fill="auto"/>
        </w:rPr>
        <w:t xml:space="preserve">организацией</w:t>
      </w:r>
      <w:r>
        <w:rPr>
          <w:spacing w:val="78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высшего</w:t>
      </w:r>
      <w:r>
        <w:rPr>
          <w:spacing w:val="79"/>
          <w:sz w:val="28"/>
          <w:szCs w:val="28"/>
          <w:shd w:val="clear" w:color="auto" w:fill="auto"/>
        </w:rPr>
        <w:t xml:space="preserve">  </w:t>
      </w:r>
      <w:r>
        <w:rPr>
          <w:spacing w:val="-2"/>
          <w:sz w:val="28"/>
          <w:szCs w:val="28"/>
          <w:shd w:val="clear" w:color="auto" w:fill="auto"/>
        </w:rPr>
        <w:t xml:space="preserve">образования </w:t>
      </w:r>
      <w:r>
        <w:rPr>
          <w:sz w:val="28"/>
          <w:szCs w:val="28"/>
          <w:shd w:val="clear" w:color="auto" w:fill="auto"/>
        </w:rPr>
        <w:t xml:space="preserve">документов требованиям, определенным настоящим Порядком, или непредставление (представление не в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полном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объеме)</w:t>
      </w:r>
      <w:r>
        <w:rPr>
          <w:spacing w:val="-4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указанных документов (за исключением документов, указанных в пункте 13 настоящего Порядка);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несоответствие образовательной организации высшего образования требованиям, определенным настоящим Порядком;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установление факта недостоверности представленной образовательной организацией высшего образования информации.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18. В случае принятия реш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ения об отказе в предоставлении гранта Академия наук Республики Татарстан в 10-дневный срок, исчисляемый в рабочих днях, со дня принятия указанного решения направляет уведомление образовательной организации высшего образования с указанием оснований отказа.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trike w:val="0"/>
          <w:sz w:val="28"/>
          <w:szCs w:val="28"/>
          <w:shd w:val="clear" w:color="auto" w:fill="auto"/>
        </w:rPr>
        <w:t xml:space="preserve">19. Решение Академии наук Республики Татарстан о предоставлении гранта и заключении соглашения оформляется приказом президента Академии наук Республики </w:t>
      </w:r>
      <w:r>
        <w:rPr>
          <w:strike w:val="0"/>
          <w:spacing w:val="-2"/>
          <w:sz w:val="28"/>
          <w:szCs w:val="28"/>
          <w:shd w:val="clear" w:color="auto" w:fill="auto"/>
        </w:rPr>
        <w:t xml:space="preserve">Татарстан.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sz w:val="28"/>
          <w:szCs w:val="28"/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</w:r>
      <w:r>
        <w:rPr>
          <w:sz w:val="28"/>
          <w:szCs w:val="28"/>
          <w:highlight w:val="none"/>
          <w:shd w:val="clear" w:color="auto" w:fill="auto"/>
        </w:rPr>
      </w:r>
      <w:r>
        <w:rPr>
          <w:sz w:val="28"/>
          <w:szCs w:val="28"/>
          <w:highlight w:val="none"/>
          <w:shd w:val="clear" w:color="auto" w:fill="auto"/>
        </w:rPr>
      </w:r>
    </w:p>
    <w:p>
      <w:pPr>
        <w:pStyle w:val="893"/>
        <w:ind w:left="0" w:firstLine="0"/>
        <w:jc w:val="center"/>
        <w:tabs>
          <w:tab w:val="clear" w:pos="720" w:leader="none"/>
          <w:tab w:val="left" w:pos="3514" w:leader="none"/>
        </w:tabs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z w:val="28"/>
          <w:szCs w:val="28"/>
          <w:shd w:val="clear" w:color="auto" w:fill="auto"/>
          <w:lang w:val="en-US"/>
        </w:rPr>
        <w:t xml:space="preserve">III. </w:t>
      </w:r>
      <w:r>
        <w:rPr>
          <w:bCs/>
          <w:color w:val="000000" w:themeColor="text1"/>
          <w:sz w:val="28"/>
          <w:szCs w:val="28"/>
          <w:shd w:val="clear" w:color="auto" w:fill="auto"/>
          <w:lang w:val="en-US"/>
        </w:rPr>
        <w:t xml:space="preserve">Порядок</w:t>
      </w:r>
      <w:r>
        <w:rPr>
          <w:bCs/>
          <w:color w:val="000000" w:themeColor="text1"/>
          <w:spacing w:val="-4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auto"/>
        </w:rPr>
        <w:t xml:space="preserve">предоставления</w:t>
      </w:r>
      <w:r>
        <w:rPr>
          <w:bCs/>
          <w:color w:val="000000" w:themeColor="text1"/>
          <w:spacing w:val="-3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гранта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514" w:leader="none"/>
        </w:tabs>
        <w:rPr>
          <w:color w:val="000000" w:themeColor="text1"/>
          <w:highlight w:val="none"/>
          <w:shd w:val="clear" w:color="auto" w:fill="auto"/>
        </w:rPr>
      </w:pPr>
      <w:r>
        <w:rPr>
          <w:color w:val="000000" w:themeColor="text1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514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20. Предоставление гранта осуществляется на основании соглашения, заключаемого между образовательной организацией высшего образования и Академией наук Респ</w:t>
      </w:r>
      <w:r>
        <w:rPr>
          <w:sz w:val="28"/>
          <w:szCs w:val="28"/>
          <w:shd w:val="clear" w:color="auto" w:fill="auto"/>
        </w:rPr>
        <w:t xml:space="preserve">ублики Татарстан, в пятидневный срок, исчисляемый в рабочих днях, со дня принятия решения о предоставлении субсидии в соответствии с типовой формой, утвержденной Министерством финансов Российской Федерации, в форме электронного документа в государственной </w:t>
      </w:r>
      <w:r>
        <w:rPr>
          <w:sz w:val="28"/>
          <w:szCs w:val="28"/>
          <w:shd w:val="clear" w:color="auto" w:fill="auto"/>
        </w:rPr>
        <w:t xml:space="preserve">интегрированной информационной системе управления общественными финансами «Электронный бюджет» (далее – система «Электронный бюджет») и подписывается усиленной квалифицированной электронной подписью лиц, имеющих право действовать от имени каждой из сторон.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514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Доступ Академии наук Республики Татарстан к системе «Электронный бюджет» обеспечивается с использованием федеральной государственной информ</w:t>
      </w:r>
      <w:r>
        <w:rPr>
          <w:sz w:val="28"/>
          <w:szCs w:val="28"/>
          <w:shd w:val="clear" w:color="auto" w:fill="auto"/>
        </w:rPr>
        <w:t xml:space="preserve">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514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21. При необходимости Академии наук Республики Татарстан за</w:t>
      </w:r>
      <w:r>
        <w:rPr>
          <w:sz w:val="28"/>
          <w:szCs w:val="28"/>
          <w:shd w:val="clear" w:color="auto" w:fill="auto"/>
        </w:rPr>
        <w:t xml:space="preserve">ключает с образовательной организации высшего образования дополнительное соглашение к соглашению, в том числе дополнительное соглашение о расторжении соглашения, в соответствии с типовыми формами, установленными Министерством финансов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514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В соглашение включаются следующие условия: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514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согласование новых условий соглашения или раст</w:t>
      </w:r>
      <w:r>
        <w:rPr>
          <w:sz w:val="28"/>
          <w:szCs w:val="28"/>
          <w:shd w:val="clear" w:color="auto" w:fill="auto"/>
        </w:rPr>
        <w:t xml:space="preserve">оржение соглашения при недостижении согласия по новым условиям в случае уменьшения Академии наук Республики Татарстан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запрет на приобретение образовательной организацией высшего образования, а также иными юридическими лицами, по</w:t>
      </w:r>
      <w:r>
        <w:rPr>
          <w:sz w:val="28"/>
          <w:szCs w:val="28"/>
          <w:shd w:val="clear" w:color="auto" w:fill="auto"/>
        </w:rPr>
        <w:t xml:space="preserve">лучающими средства на основании договоров, заключенных с образовательной организацией высшего образования, за счет полученных из бюджета Республики Татарстан средств иностранной валюты, за исключением операций, осуществляемых в соответствии с валютным зако</w:t>
      </w:r>
      <w:r>
        <w:rPr>
          <w:sz w:val="28"/>
          <w:szCs w:val="28"/>
          <w:shd w:val="clear" w:color="auto" w:fill="auto"/>
        </w:rPr>
        <w:t xml:space="preserve">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пунктом 9 настоящего </w:t>
      </w:r>
      <w:r>
        <w:rPr>
          <w:spacing w:val="-2"/>
          <w:sz w:val="28"/>
          <w:szCs w:val="28"/>
          <w:shd w:val="clear" w:color="auto" w:fill="auto"/>
        </w:rPr>
        <w:t xml:space="preserve">Порядка;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514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согласие</w:t>
      </w:r>
      <w:r>
        <w:rPr>
          <w:spacing w:val="-7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образовательной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организации</w:t>
      </w:r>
      <w:r>
        <w:rPr>
          <w:spacing w:val="-7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высшего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образования,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а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также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лиц,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получающих</w:t>
      </w:r>
      <w:r>
        <w:rPr>
          <w:spacing w:val="-5"/>
          <w:sz w:val="28"/>
          <w:szCs w:val="28"/>
          <w:shd w:val="clear" w:color="auto" w:fill="auto"/>
        </w:rPr>
        <w:t xml:space="preserve"> </w:t>
      </w:r>
      <w:r>
        <w:rPr>
          <w:spacing w:val="-2"/>
          <w:sz w:val="28"/>
          <w:szCs w:val="28"/>
          <w:shd w:val="clear" w:color="auto" w:fill="auto"/>
        </w:rPr>
        <w:t xml:space="preserve">средства </w:t>
      </w:r>
      <w:r>
        <w:rPr>
          <w:sz w:val="28"/>
          <w:szCs w:val="28"/>
          <w:shd w:val="clear" w:color="auto" w:fill="auto"/>
        </w:rPr>
        <w:t xml:space="preserve">на основании договоров, заключенных с образовательной организацией высшего образования (за исключением государственных (муниципальных) унитарных предприятий, хозяйственных товариществ и обществ с участием публичн</w:t>
      </w:r>
      <w:r>
        <w:rPr>
          <w:sz w:val="28"/>
          <w:szCs w:val="28"/>
          <w:shd w:val="clear" w:color="auto" w:fill="auto"/>
        </w:rPr>
        <w:t xml:space="preserve">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их проверки Академией наук Республики Татарстан соблюде</w:t>
      </w:r>
      <w:r>
        <w:rPr>
          <w:sz w:val="28"/>
          <w:szCs w:val="28"/>
          <w:shd w:val="clear" w:color="auto" w:fill="auto"/>
        </w:rPr>
        <w:t xml:space="preserve">ния порядка и условий предоставления гранта, в том числе в части достижения результатов предоставления гранта, а также проверки органами государственного финансового контроля в соответствии со статьями 268.1 и 269.2 Бюджетного кодекса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При реорганизации образовательной организации высшего образования в форме слияния, присоединения или преобразования </w:t>
      </w:r>
      <w:r>
        <w:rPr>
          <w:sz w:val="28"/>
          <w:szCs w:val="28"/>
          <w:shd w:val="clear" w:color="auto" w:fill="auto"/>
        </w:rPr>
        <w:t xml:space="preserve">в соглашение</w:t>
      </w:r>
      <w:r>
        <w:rPr>
          <w:sz w:val="28"/>
          <w:szCs w:val="28"/>
          <w:shd w:val="clear" w:color="auto" w:fill="auto"/>
        </w:rPr>
        <w:t xml:space="preserve"> вносятся изменения путем заключения дополнительного соглашения </w:t>
      </w:r>
      <w:r>
        <w:rPr>
          <w:sz w:val="28"/>
          <w:szCs w:val="28"/>
          <w:shd w:val="clear" w:color="auto" w:fill="auto"/>
        </w:rPr>
        <w:t xml:space="preserve">к соглашению</w:t>
      </w:r>
      <w:r>
        <w:rPr>
          <w:sz w:val="28"/>
          <w:szCs w:val="28"/>
          <w:shd w:val="clear" w:color="auto" w:fill="auto"/>
        </w:rPr>
        <w:t xml:space="preserve"> в части перемены лица в обязательстве с указанием </w:t>
      </w:r>
      <w:r>
        <w:rPr>
          <w:sz w:val="28"/>
          <w:szCs w:val="28"/>
          <w:shd w:val="clear" w:color="auto" w:fill="auto"/>
        </w:rPr>
        <w:t xml:space="preserve">в соглашении</w:t>
      </w:r>
      <w:r>
        <w:rPr>
          <w:sz w:val="28"/>
          <w:szCs w:val="28"/>
          <w:shd w:val="clear" w:color="auto" w:fill="auto"/>
        </w:rPr>
        <w:t xml:space="preserve"> юридического лица, являющегося правопреемником образовательной организации высшего образования.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При реорганизации образовательной организации высшего образования в форме разделения, выделения, а также при ликвидации образовательной организации высшего образования </w:t>
      </w:r>
      <w:r>
        <w:rPr>
          <w:sz w:val="28"/>
          <w:szCs w:val="28"/>
          <w:shd w:val="clear" w:color="auto" w:fill="auto"/>
        </w:rPr>
        <w:t xml:space="preserve">соглашение</w:t>
      </w:r>
      <w:r>
        <w:rPr>
          <w:sz w:val="28"/>
          <w:szCs w:val="28"/>
          <w:shd w:val="clear" w:color="auto" w:fill="auto"/>
        </w:rPr>
        <w:t xml:space="preserve"> расторгается с формированием уведомления о расторжении </w:t>
      </w:r>
      <w:r>
        <w:rPr>
          <w:sz w:val="28"/>
          <w:szCs w:val="28"/>
          <w:shd w:val="clear" w:color="auto" w:fill="auto"/>
        </w:rPr>
        <w:t xml:space="preserve">соглашения </w:t>
      </w:r>
      <w:r>
        <w:rPr>
          <w:sz w:val="28"/>
          <w:szCs w:val="28"/>
          <w:shd w:val="clear" w:color="auto" w:fill="auto"/>
        </w:rPr>
        <w:t xml:space="preserve">в одностороннем порядке и акта об исполнении обязательств </w:t>
      </w:r>
      <w:r>
        <w:rPr>
          <w:sz w:val="28"/>
          <w:szCs w:val="28"/>
          <w:shd w:val="clear" w:color="auto" w:fill="auto"/>
        </w:rPr>
        <w:t xml:space="preserve">по соглашению</w:t>
      </w:r>
      <w:r>
        <w:rPr>
          <w:sz w:val="28"/>
          <w:szCs w:val="28"/>
          <w:shd w:val="clear" w:color="auto" w:fill="auto"/>
        </w:rPr>
        <w:t xml:space="preserve"> с отражением информации о неисполненных образовательной организацией высшего образования обязательствах, источником финансового обеспечения которых является грант, и возврате неиспользованного остатка гранта в бюджет Республики Татарстан.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22. В случае если образовательные организации высшего образования не подписали соглашение в срок, указанный в пункте 20, они считаются уклонившимися от заключения</w:t>
      </w:r>
      <w:r>
        <w:rPr>
          <w:sz w:val="28"/>
          <w:szCs w:val="28"/>
          <w:shd w:val="clear" w:color="auto" w:fill="auto"/>
        </w:rPr>
        <w:t xml:space="preserve"> соглашения.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23. Грант перечисляется образовательным организациям высшего образован</w:t>
      </w:r>
      <w:r>
        <w:rPr>
          <w:sz w:val="28"/>
          <w:szCs w:val="28"/>
          <w:shd w:val="clear" w:color="auto" w:fill="auto"/>
        </w:rPr>
        <w:t xml:space="preserve">ия не позднее 10 рабочих дней со дня подписания соглашения о предоставлении гранта на расчетный или корреспондентский счет, открытый образовательной организацией высшего образования в учреждении Центрального банка Российской Федерации или кредитной организации.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24. Образовательные организации высшего образования обязаны осуществлять раздельный бухгалтерский учет поступления и расходования средств.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firstLine="0"/>
        <w:jc w:val="center"/>
        <w:tabs>
          <w:tab w:val="clear" w:pos="720" w:leader="none"/>
          <w:tab w:val="left" w:pos="3689" w:leader="none"/>
        </w:tabs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8"/>
          <w:szCs w:val="28"/>
          <w:shd w:val="clear" w:color="auto" w:fill="auto"/>
          <w:lang w:val="en-US"/>
        </w:rPr>
        <w:t xml:space="preserve">IV. </w:t>
      </w: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Заключительные</w:t>
      </w:r>
      <w:r>
        <w:rPr>
          <w:bCs/>
          <w:color w:val="000000" w:themeColor="text1"/>
          <w:spacing w:val="14"/>
          <w:sz w:val="28"/>
          <w:szCs w:val="28"/>
          <w:shd w:val="clear" w:color="auto" w:fill="auto"/>
        </w:rPr>
        <w:t xml:space="preserve"> </w:t>
      </w: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положения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93"/>
        <w:ind w:left="0" w:firstLine="0"/>
        <w:jc w:val="center"/>
        <w:tabs>
          <w:tab w:val="clear" w:pos="720" w:leader="none"/>
          <w:tab w:val="left" w:pos="3689" w:leader="none"/>
        </w:tabs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pPr>
      <w:r>
        <w:rPr>
          <w:bCs/>
          <w:color w:val="000000" w:themeColor="text1"/>
          <w:sz w:val="28"/>
          <w:szCs w:val="28"/>
          <w:shd w:val="clear" w:color="auto" w:fill="auto"/>
        </w:rPr>
      </w:r>
      <w:r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r>
      <w:r>
        <w:rPr>
          <w:bCs/>
          <w:color w:val="000000" w:themeColor="text1"/>
          <w:sz w:val="28"/>
          <w:szCs w:val="28"/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689" w:leader="none"/>
        </w:tabs>
        <w:rPr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  <w:t xml:space="preserve">25. </w:t>
      </w:r>
      <w:r>
        <w:rPr>
          <w:color w:val="000000" w:themeColor="text1"/>
          <w:sz w:val="28"/>
          <w:szCs w:val="28"/>
          <w:shd w:val="clear" w:color="auto" w:fill="auto"/>
        </w:rPr>
        <w:t xml:space="preserve">Образовательные организации высшего образования представля</w:t>
      </w:r>
      <w:r>
        <w:rPr>
          <w:sz w:val="28"/>
          <w:szCs w:val="28"/>
          <w:shd w:val="clear" w:color="auto" w:fill="auto"/>
        </w:rPr>
        <w:t xml:space="preserve">ют в Академию наук Республики Татарстан ежеквартально, до 15 числа месяца, следующего за отчетным кварталом, а также до 15 января года, следующего за отчетным годом: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689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отчет о достижении значений результата предоставления гранта по форме определенной типовой формой соглашения, установленной Министерством финансов Российской Федерации;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689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отчет об осуществлении расходов, источником финансового обеспечения которых является грант, по форме определенной типовой формой соглашения, установленной Министерством финансов Российской Федерации;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right="0" w:firstLine="680"/>
        <w:jc w:val="both"/>
        <w:spacing w:before="0" w:after="0"/>
        <w:widowControl w:val="off"/>
        <w:tabs>
          <w:tab w:val="clear" w:pos="720" w:leader="none"/>
          <w:tab w:val="left" w:pos="3689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дополнительную отчетность (в случае, предусмотренном соглашением).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firstLine="709"/>
        <w:jc w:val="both"/>
        <w:tabs>
          <w:tab w:val="clear" w:pos="720" w:leader="none"/>
          <w:tab w:val="left" w:pos="1160" w:leader="none"/>
        </w:tabs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26. Академия наук Республики Татарстан осуществляет проверку представленных отчетов, указанных в пункте 25 настоящего пункта, в срок, не превышающий 15 рабочих дней со дня представления указанных отчетов.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93"/>
        <w:ind w:left="0" w:firstLine="709"/>
        <w:jc w:val="both"/>
        <w:tabs>
          <w:tab w:val="clear" w:pos="720" w:leader="none"/>
          <w:tab w:val="left" w:pos="1160" w:leader="none"/>
        </w:tabs>
        <w:rPr>
          <w:highlight w:val="none"/>
          <w:shd w:val="clear" w:color="auto" w:fill="auto"/>
        </w:rPr>
      </w:pPr>
      <w:r/>
      <w:bookmarkStart w:id="1" w:name="_bookmark17"/>
      <w:r/>
      <w:bookmarkEnd w:id="1"/>
      <w:r>
        <w:rPr>
          <w:sz w:val="28"/>
          <w:szCs w:val="28"/>
          <w:shd w:val="clear" w:color="auto" w:fill="auto"/>
        </w:rPr>
        <w:t xml:space="preserve">27. Остатки средств, источником финансового обеспечения которых является грант, не использованны</w:t>
      </w:r>
      <w:r>
        <w:rPr>
          <w:rFonts w:eastAsia="Times New Roman" w:cs="Times New Roman"/>
          <w:sz w:val="28"/>
          <w:szCs w:val="28"/>
          <w:shd w:val="clear" w:color="auto" w:fill="auto"/>
          <w:lang w:val="ru-RU"/>
        </w:rPr>
        <w:t xml:space="preserve">е в 2025 году, подлежат возврату в доход бюджета Республики Татарстан до 1 февраля 2026</w:t>
      </w:r>
      <w:r>
        <w:rPr>
          <w:sz w:val="28"/>
          <w:szCs w:val="28"/>
          <w:shd w:val="clear" w:color="auto" w:fill="auto"/>
        </w:rPr>
        <w:t xml:space="preserve"> года, за исключением случаев принятия Академией наук Республики Татарстан по согласованию с Министерством финансов Республики Татарстан решения о наличии потребности в указанных средствах, в порядке, установленном соглашением.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/>
      <w:bookmarkStart w:id="2" w:name="_bookmark18"/>
      <w:r/>
      <w:bookmarkEnd w:id="2"/>
      <w:r>
        <w:rPr>
          <w:sz w:val="28"/>
          <w:szCs w:val="28"/>
          <w:shd w:val="clear" w:color="auto" w:fill="auto"/>
        </w:rPr>
        <w:t xml:space="preserve">В случае потребности направления средств, не использованных в отчетном фина</w:t>
      </w:r>
      <w:r>
        <w:rPr>
          <w:sz w:val="28"/>
          <w:szCs w:val="28"/>
          <w:shd w:val="clear" w:color="auto" w:fill="auto"/>
        </w:rPr>
        <w:t xml:space="preserve">нсовом году, на цели, указанные в пункте 3 настоящего Порядка, образовательные организации высшего образования представляют в Академию наук Республики Татарстан не позднее 15 января года, следующего за отчетным, информацию с обоснованием такой потребности.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Академия наук Республики Татарстан не позднее 10 календарных дней со дня получения от образовательной организации высшего образования информации, указанной в</w:t>
      </w:r>
      <w:r>
        <w:rPr>
          <w:sz w:val="28"/>
          <w:szCs w:val="28"/>
          <w:shd w:val="clear" w:color="auto" w:fill="auto"/>
        </w:rPr>
        <w:t xml:space="preserve"> абзаце втором настоящего пункта, по согласованию с Министерством финансов Республики Татарстан принимает решение о наличии или об отсутствии потребности в направлении в текущем финансовом году остатка гранта, не использованного в отчетном финансовом году.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В случае принятия Академией наук Республики Татарстан решения о на</w:t>
      </w:r>
      <w:r>
        <w:rPr>
          <w:sz w:val="28"/>
          <w:szCs w:val="28"/>
          <w:shd w:val="clear" w:color="auto" w:fill="auto"/>
        </w:rPr>
        <w:t xml:space="preserve">личии потребности в направлении в текущем финансовом году остатка гранта, не использованного в отчетном финансовом году, между Академией наук Республики Татарстан и образовательными организациями высшего образования заключаются дополнительные соглашения к </w:t>
      </w:r>
      <w:r>
        <w:rPr>
          <w:sz w:val="28"/>
          <w:szCs w:val="28"/>
          <w:shd w:val="clear" w:color="auto" w:fill="auto"/>
        </w:rPr>
        <w:t xml:space="preserve">соглашениям</w:t>
      </w:r>
      <w:r>
        <w:rPr>
          <w:sz w:val="28"/>
          <w:szCs w:val="28"/>
          <w:shd w:val="clear" w:color="auto" w:fill="auto"/>
        </w:rPr>
        <w:t xml:space="preserve"> по форме, установленной Министерством финансов</w:t>
      </w:r>
      <w:r>
        <w:rPr>
          <w:sz w:val="28"/>
          <w:szCs w:val="28"/>
          <w:shd w:val="clear" w:color="auto" w:fill="auto"/>
        </w:rPr>
        <w:t xml:space="preserve"> Российской Федерации,</w:t>
      </w:r>
      <w:r>
        <w:rPr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в пятидневный срок, исчисляемый в рабочих днях, со дня принятия такого решения.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</w:pPr>
      <w:r>
        <w:rPr>
          <w:sz w:val="28"/>
          <w:szCs w:val="28"/>
          <w:shd w:val="clear" w:color="auto" w:fill="auto"/>
        </w:rPr>
        <w:t xml:space="preserve">28. Академия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наук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Республики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Татарстан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осуществляет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проверку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соблюдения</w:t>
      </w:r>
      <w:r>
        <w:rPr>
          <w:spacing w:val="-6"/>
          <w:sz w:val="28"/>
          <w:szCs w:val="28"/>
          <w:shd w:val="clear" w:color="auto" w:fill="auto"/>
        </w:rPr>
        <w:t xml:space="preserve"> </w:t>
      </w:r>
      <w:r>
        <w:rPr>
          <w:sz w:val="28"/>
          <w:szCs w:val="28"/>
          <w:shd w:val="clear" w:color="auto" w:fill="auto"/>
        </w:rPr>
        <w:t xml:space="preserve">образовательными организациями высшего образования условий и порядка предоставления гранта, в том числе в части достижения результата предоставления гранта. Органы государственного финансового контроля осуществляют проверку в соответствии со </w:t>
      </w:r>
      <w:hyperlink r:id="rId12" w:tooltip="https://internet.garant.ru/document/redirect/12112604/2681" w:history="1">
        <w:r>
          <w:rPr>
            <w:sz w:val="28"/>
            <w:szCs w:val="28"/>
            <w:shd w:val="clear" w:color="auto" w:fill="auto"/>
          </w:rPr>
          <w:t xml:space="preserve">статьями 268.1</w:t>
        </w:r>
      </w:hyperlink>
      <w:r>
        <w:rPr>
          <w:sz w:val="28"/>
          <w:szCs w:val="28"/>
          <w:shd w:val="clear" w:color="auto" w:fill="auto"/>
        </w:rPr>
        <w:t xml:space="preserve"> и 269.2 Бюджетного кодекса Российской </w:t>
      </w:r>
      <w:r>
        <w:rPr>
          <w:spacing w:val="-2"/>
          <w:sz w:val="28"/>
          <w:szCs w:val="28"/>
          <w:shd w:val="clear" w:color="auto" w:fill="auto"/>
        </w:rPr>
        <w:t xml:space="preserve">Федерации.</w:t>
      </w:r>
      <w:r/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Мониторинг достижения значений результата предоставления гранта, определенных соглашением, и событий, отражающих фак</w:t>
      </w:r>
      <w:r>
        <w:rPr>
          <w:sz w:val="28"/>
          <w:szCs w:val="28"/>
          <w:shd w:val="clear" w:color="auto" w:fill="auto"/>
        </w:rPr>
        <w:t xml:space="preserve">т завершения соответствующего мероприятия по получению результата предоставления субсидии (контрольная точка), проводится Академией наук Республики Татарстан в порядке и по формам, которые установлены порядком проведения мониторинга достижения результатов.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29. </w:t>
      </w:r>
      <w:bookmarkStart w:id="3" w:name="p_109"/>
      <w:r/>
      <w:bookmarkEnd w:id="3"/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Субсидия подлежит возврату образовательными организациями высшего образования в бюджет Республики Татарстан в 30-дневный срок, исчисляемый в рабочих днях, со дня получения соответствующего требования Академии наук Республики Татарстан в случаях: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/>
      <w:bookmarkStart w:id="4" w:name="p_110"/>
      <w:r/>
      <w:bookmarkEnd w:id="4"/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нарушения образов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ательными организациями высшего образования условий, установленных при предоставлении субсидии, выявленного в том числе по фактам проверок, проведенных Академией наук Республики Татарстан и органами государственного финансового контроля, – в полном объеме;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/>
      <w:bookmarkStart w:id="5" w:name="p_111"/>
      <w:r/>
      <w:bookmarkEnd w:id="5"/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представления образовательными организациями высшего образования недостоверных (неполных) сведений и документов для получения субсидии – в полном объеме;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/>
      <w:bookmarkStart w:id="6" w:name="p_112"/>
      <w:r/>
      <w:bookmarkEnd w:id="6"/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непред</w:t>
      </w:r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ставления отчета об осуществлении расходов, источником финансового обеспечения которых является субсидия, отчета о достижении значений результатов предоставления субсидии, дополнительной отчетности (при установлении таковой в соглашении) – в полном объеме;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/>
      <w:bookmarkStart w:id="7" w:name="p_113"/>
      <w:r/>
      <w:bookmarkEnd w:id="7"/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недостижения образовательными организациями высшего образования значения результата предоставления субсидии – в полном объеме;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spacing w:before="0" w:after="0"/>
        <w:widowControl w:val="off"/>
        <w:rPr>
          <w:highlight w:val="none"/>
          <w:shd w:val="clear" w:color="auto" w:fill="auto"/>
        </w:rPr>
      </w:pPr>
      <w:r/>
      <w:bookmarkStart w:id="8" w:name="p_114"/>
      <w:r/>
      <w:bookmarkEnd w:id="8"/>
      <w:r>
        <w:rPr>
          <w:rFonts w:eastAsia="Times New Roman" w:cs="Times New Roman"/>
          <w:color w:val="000000"/>
          <w:sz w:val="28"/>
          <w:szCs w:val="28"/>
          <w:shd w:val="clear" w:color="auto" w:fill="auto"/>
          <w:lang w:val="ru-RU" w:eastAsia="en-US" w:bidi="ar-SA"/>
        </w:rPr>
        <w:t xml:space="preserve">нецелевого использования средств субсидии – в объеме использованной не по целевому назначению субсидии.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30. В случае нарушения образовательной организацией высшего образования условий и порядка предос</w:t>
      </w:r>
      <w:r>
        <w:rPr>
          <w:sz w:val="28"/>
          <w:szCs w:val="28"/>
          <w:shd w:val="clear" w:color="auto" w:fill="auto"/>
        </w:rPr>
        <w:t xml:space="preserve">тавления гранта, выявленных в том числе по фактам проверок, проведенных Академией наук Республики Татарстан и органами государственного финансового контроля, а также в случае недостижения значений результатов предоставления гранта, указанных в пункте 6 нас</w:t>
      </w:r>
      <w:r>
        <w:rPr>
          <w:sz w:val="28"/>
          <w:szCs w:val="28"/>
          <w:shd w:val="clear" w:color="auto" w:fill="auto"/>
        </w:rPr>
        <w:t xml:space="preserve">тоящего Порядка, образовательная организация высшего образования осуществляет возврат полученных средств в бюджет Республики Татарстан в полном объеме в течение 30 календарных дней со дня получения письменного требования Академии наук Республики Татарстан.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31. В случае отказа от добровольного возврата в доход бюджета Республики Татарстан средств, указанных в пунктах 27 и 30 насто</w:t>
      </w:r>
      <w:r>
        <w:rPr>
          <w:sz w:val="28"/>
          <w:szCs w:val="28"/>
          <w:shd w:val="clear" w:color="auto" w:fill="auto"/>
        </w:rPr>
        <w:t xml:space="preserve">ящего Порядка, Академия наук Республики Татарстан принимает меры по их взысканию в принудительном порядке в семидневный срок, исчисляемый в календарных днях, со дня получения отказа образовательной организации высшего образования в возврате полученных сред</w:t>
      </w:r>
      <w:r>
        <w:rPr>
          <w:sz w:val="28"/>
          <w:szCs w:val="28"/>
          <w:shd w:val="clear" w:color="auto" w:fill="auto"/>
        </w:rPr>
        <w:t xml:space="preserve">ств в бюджет Республики Татарстан или по истечении срока добровольного возврата полученных средств в бюджет Республики Татарстан, указанных в письменном требовании Академии наук Республики Татарстан, в соответствии с законодательством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sz w:val="28"/>
          <w:szCs w:val="28"/>
          <w:shd w:val="clear" w:color="auto" w:fill="auto"/>
        </w:rPr>
        <w:sectPr>
          <w:headerReference w:type="default" r:id="rId8"/>
          <w:headerReference w:type="first" r:id="rId9"/>
          <w:footerReference w:type="first" r:id="rId11"/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  <w:shd w:val="clear" w:color="auto" w:fill="auto"/>
        </w:rPr>
        <w:t xml:space="preserve">32. Контроль за эффективным использованием гранта, соблюдением условий и порядка его предоставления осуществляется Академией наук Республики Татарстан </w:t>
      </w:r>
      <w:r>
        <w:rPr>
          <w:sz w:val="28"/>
          <w:szCs w:val="28"/>
          <w:shd w:val="clear" w:color="auto" w:fill="auto"/>
        </w:rPr>
        <w:t xml:space="preserve">в соответствии с законодательством Российской Федерац</w:t>
      </w:r>
      <w:r>
        <w:rPr>
          <w:sz w:val="28"/>
          <w:szCs w:val="28"/>
          <w:shd w:val="clear" w:color="auto" w:fill="auto"/>
        </w:rPr>
        <w:t xml:space="preserve">ии.</w:t>
      </w:r>
      <w:r>
        <w:rPr>
          <w:sz w:val="28"/>
          <w:szCs w:val="28"/>
          <w:shd w:val="clear" w:color="auto" w:fill="auto"/>
        </w:rPr>
      </w:r>
      <w:r>
        <w:rPr>
          <w:sz w:val="28"/>
          <w:szCs w:val="28"/>
          <w:shd w:val="clear" w:color="auto" w:fill="auto"/>
        </w:rPr>
      </w:r>
    </w:p>
    <w:p>
      <w:pPr>
        <w:pStyle w:val="881"/>
        <w:ind w:left="5102" w:right="0" w:firstLine="0"/>
        <w:jc w:val="both"/>
        <w:spacing w:before="0" w:after="0"/>
        <w:rPr>
          <w:color w:val="000000" w:themeColor="text1"/>
          <w:sz w:val="22"/>
          <w:szCs w:val="22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4"/>
          <w:szCs w:val="24"/>
          <w:shd w:val="clear" w:color="auto" w:fill="auto"/>
        </w:rPr>
        <w:t xml:space="preserve">Приложение </w:t>
      </w:r>
      <w:r>
        <w:rPr>
          <w:color w:val="000000" w:themeColor="text1"/>
          <w:sz w:val="22"/>
          <w:szCs w:val="22"/>
          <w:highlight w:val="none"/>
          <w:shd w:val="clear" w:color="auto" w:fill="auto"/>
        </w:rPr>
      </w:r>
      <w:r>
        <w:rPr>
          <w:color w:val="000000" w:themeColor="text1"/>
          <w:sz w:val="22"/>
          <w:szCs w:val="22"/>
          <w:highlight w:val="none"/>
          <w:shd w:val="clear" w:color="auto" w:fill="auto"/>
        </w:rPr>
      </w:r>
    </w:p>
    <w:p>
      <w:pPr>
        <w:pStyle w:val="881"/>
        <w:ind w:left="5102" w:right="0" w:firstLine="0"/>
        <w:jc w:val="both"/>
        <w:rPr>
          <w:color w:val="000000" w:themeColor="text1"/>
          <w:sz w:val="24"/>
          <w:szCs w:val="24"/>
          <w:shd w:val="clear" w:color="auto" w:fill="auto"/>
        </w:rPr>
      </w:pP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к Порядку предоставления в 2025 году грантов в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форме субсидий «Поддержка программ развития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  передовых инженерных школ» федеральному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государственному бюджетному образовательному 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учреждению высшего обр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азования «Казанский 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национальный исследовательский технический 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университет им. А.Н. Туполева – КАИ»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и государственному автономному образовательному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учреждению высшего образования «Альметьевский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государственный технологический университет 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«Высшая школа нефти»</w:t>
      </w:r>
      <w:r>
        <w:rPr>
          <w:color w:val="000000" w:themeColor="text1"/>
          <w:sz w:val="24"/>
          <w:szCs w:val="24"/>
          <w:shd w:val="clear" w:color="auto" w:fill="auto"/>
        </w:rPr>
      </w:r>
      <w:r>
        <w:rPr>
          <w:color w:val="000000" w:themeColor="text1"/>
          <w:sz w:val="24"/>
          <w:szCs w:val="24"/>
          <w:shd w:val="clear" w:color="auto" w:fill="auto"/>
        </w:rPr>
      </w:r>
    </w:p>
    <w:p>
      <w:pPr>
        <w:pStyle w:val="881"/>
        <w:ind w:left="4678"/>
        <w:jc w:val="center"/>
        <w:rPr>
          <w:bCs/>
          <w:color w:val="000000" w:themeColor="text1"/>
          <w:spacing w:val="-2"/>
          <w:sz w:val="28"/>
          <w:szCs w:val="28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8"/>
          <w:szCs w:val="28"/>
          <w:shd w:val="clear" w:color="auto" w:fill="auto"/>
        </w:rPr>
      </w:r>
      <w:r>
        <w:rPr>
          <w:bCs/>
          <w:color w:val="000000" w:themeColor="text1"/>
          <w:spacing w:val="-2"/>
          <w:sz w:val="28"/>
          <w:szCs w:val="28"/>
          <w:highlight w:val="none"/>
          <w:shd w:val="clear" w:color="auto" w:fill="auto"/>
        </w:rPr>
      </w:r>
      <w:r>
        <w:rPr>
          <w:bCs/>
          <w:color w:val="000000" w:themeColor="text1"/>
          <w:spacing w:val="-2"/>
          <w:sz w:val="28"/>
          <w:szCs w:val="28"/>
          <w:highlight w:val="none"/>
          <w:shd w:val="clear" w:color="auto" w:fill="auto"/>
        </w:rPr>
      </w:r>
    </w:p>
    <w:p>
      <w:pPr>
        <w:pStyle w:val="881"/>
        <w:ind w:left="4678"/>
        <w:jc w:val="center"/>
        <w:rPr>
          <w:color w:val="000000" w:themeColor="text1"/>
          <w:sz w:val="22"/>
          <w:szCs w:val="22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4"/>
          <w:szCs w:val="24"/>
          <w:shd w:val="clear" w:color="auto" w:fill="auto"/>
        </w:rPr>
        <w:t xml:space="preserve">Форма</w:t>
      </w:r>
      <w:r>
        <w:rPr>
          <w:color w:val="000000" w:themeColor="text1"/>
          <w:sz w:val="22"/>
          <w:szCs w:val="22"/>
          <w:highlight w:val="none"/>
          <w:shd w:val="clear" w:color="auto" w:fill="auto"/>
        </w:rPr>
      </w:r>
      <w:r>
        <w:rPr>
          <w:color w:val="000000" w:themeColor="text1"/>
          <w:sz w:val="22"/>
          <w:szCs w:val="22"/>
          <w:highlight w:val="none"/>
          <w:shd w:val="clear" w:color="auto" w:fill="auto"/>
        </w:rPr>
      </w:r>
    </w:p>
    <w:p>
      <w:pPr>
        <w:pStyle w:val="887"/>
        <w:ind w:left="0" w:firstLine="709"/>
        <w:rPr>
          <w:spacing w:val="-2"/>
          <w:sz w:val="24"/>
          <w:szCs w:val="24"/>
          <w:highlight w:val="none"/>
          <w:shd w:val="clear" w:color="auto" w:fill="auto"/>
        </w:rPr>
      </w:pPr>
      <w:r>
        <w:rPr>
          <w:spacing w:val="-2"/>
          <w:sz w:val="24"/>
          <w:szCs w:val="24"/>
          <w:shd w:val="clear" w:color="auto" w:fill="auto"/>
        </w:rPr>
      </w:r>
      <w:r>
        <w:rPr>
          <w:spacing w:val="-2"/>
          <w:sz w:val="24"/>
          <w:szCs w:val="24"/>
          <w:highlight w:val="none"/>
          <w:shd w:val="clear" w:color="auto" w:fill="auto"/>
        </w:rPr>
      </w:r>
      <w:r>
        <w:rPr>
          <w:spacing w:val="-2"/>
          <w:sz w:val="24"/>
          <w:szCs w:val="24"/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pacing w:val="-2"/>
          <w:sz w:val="24"/>
          <w:szCs w:val="24"/>
          <w:shd w:val="clear" w:color="auto" w:fill="auto"/>
        </w:rPr>
        <w:t xml:space="preserve">Регистрационный</w:t>
      </w:r>
      <w:r>
        <w:rPr>
          <w:spacing w:val="15"/>
          <w:sz w:val="24"/>
          <w:szCs w:val="24"/>
          <w:shd w:val="clear" w:color="auto" w:fill="auto"/>
        </w:rPr>
        <w:t xml:space="preserve"> </w:t>
      </w:r>
      <w:r>
        <w:rPr>
          <w:spacing w:val="-2"/>
          <w:sz w:val="24"/>
          <w:szCs w:val="24"/>
          <w:shd w:val="clear" w:color="auto" w:fill="auto"/>
        </w:rPr>
        <w:t xml:space="preserve">номер: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Дата</w:t>
      </w:r>
      <w:r>
        <w:rPr>
          <w:spacing w:val="-8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регистрации</w:t>
      </w:r>
      <w:r>
        <w:rPr>
          <w:spacing w:val="-7"/>
          <w:sz w:val="24"/>
          <w:szCs w:val="24"/>
          <w:shd w:val="clear" w:color="auto" w:fill="auto"/>
        </w:rPr>
        <w:t xml:space="preserve"> </w:t>
      </w:r>
      <w:r>
        <w:rPr>
          <w:spacing w:val="-2"/>
          <w:sz w:val="24"/>
          <w:szCs w:val="24"/>
          <w:shd w:val="clear" w:color="auto" w:fill="auto"/>
        </w:rPr>
        <w:t xml:space="preserve">заявки: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rPr>
          <w:sz w:val="24"/>
          <w:szCs w:val="24"/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</w:p>
    <w:p>
      <w:pPr>
        <w:pStyle w:val="881"/>
        <w:jc w:val="center"/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pacing w:val="-2"/>
          <w:sz w:val="24"/>
          <w:szCs w:val="24"/>
          <w:shd w:val="clear" w:color="auto" w:fill="auto"/>
        </w:rPr>
        <w:t xml:space="preserve">Заявка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1"/>
        <w:ind w:left="-57" w:right="0" w:firstLine="0"/>
        <w:jc w:val="center"/>
        <w:spacing w:before="0" w:after="0"/>
        <w:widowControl w:val="off"/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на предоставление грантов в форме субсидий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1"/>
        <w:ind w:left="-57" w:right="0" w:firstLine="0"/>
        <w:jc w:val="center"/>
        <w:spacing w:before="0" w:after="0"/>
        <w:widowControl w:val="off"/>
        <w:rPr>
          <w:color w:val="000000" w:themeColor="text1"/>
          <w:highlight w:val="none"/>
          <w:shd w:val="clear" w:color="auto" w:fill="auto"/>
        </w:rPr>
      </w:pP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«Поддержка программ развития передовых инженерных школ» федеральному государственному бюджетному образовательному учреждению высшего образования «Казанский национальный исследовательский технический университет им. А.Н. Туполева </w:t>
      </w:r>
      <w:r>
        <w:rPr>
          <w:caps w:val="0"/>
          <w:smallCaps w:val="0"/>
          <w:color w:val="000000" w:themeColor="text1"/>
          <w:spacing w:val="-15"/>
          <w:shd w:val="clear" w:color="auto" w:fill="auto"/>
        </w:rPr>
        <w:t xml:space="preserve">–</w:t>
      </w:r>
      <w:r>
        <w:rPr>
          <w:bCs/>
          <w:color w:val="000000" w:themeColor="text1"/>
          <w:sz w:val="24"/>
          <w:szCs w:val="24"/>
          <w:shd w:val="clear" w:color="auto" w:fill="auto"/>
        </w:rPr>
        <w:t xml:space="preserve"> КАИ» и государственному автономному образовательному учреждению высшего образования «Альметьевский государственный технологический университет «Высшая школа нефти» в 2025 году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7"/>
        <w:ind w:left="0" w:firstLine="709"/>
        <w:rPr>
          <w:b/>
          <w:color w:val="000000" w:themeColor="text1"/>
          <w:sz w:val="24"/>
          <w:szCs w:val="24"/>
          <w:highlight w:val="none"/>
          <w:shd w:val="clear" w:color="auto" w:fill="auto"/>
        </w:rPr>
      </w:pPr>
      <w:r>
        <w:rPr>
          <w:b/>
          <w:color w:val="000000" w:themeColor="text1"/>
          <w:sz w:val="24"/>
          <w:szCs w:val="24"/>
          <w:shd w:val="clear" w:color="auto" w:fill="auto"/>
        </w:rPr>
      </w:r>
      <w:r>
        <w:rPr>
          <w:b/>
          <w:color w:val="000000" w:themeColor="text1"/>
          <w:sz w:val="24"/>
          <w:szCs w:val="24"/>
          <w:highlight w:val="none"/>
          <w:shd w:val="clear" w:color="auto" w:fill="auto"/>
        </w:rPr>
      </w:r>
      <w:r>
        <w:rPr>
          <w:b/>
          <w:color w:val="000000" w:themeColor="text1"/>
          <w:sz w:val="24"/>
          <w:szCs w:val="24"/>
          <w:highlight w:val="none"/>
          <w:shd w:val="clear" w:color="auto" w:fill="auto"/>
        </w:rPr>
      </w:r>
    </w:p>
    <w:tbl>
      <w:tblPr>
        <w:tblStyle w:val="902"/>
        <w:tblW w:w="10206" w:type="dxa"/>
        <w:jc w:val="center"/>
        <w:tblInd w:w="0" w:type="dxa"/>
        <w:tblLayout w:type="fixed"/>
        <w:tblCellMar>
          <w:left w:w="2" w:type="dxa"/>
          <w:top w:w="0" w:type="dxa"/>
          <w:right w:w="2" w:type="dxa"/>
          <w:bottom w:w="0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3260"/>
      </w:tblGrid>
      <w:tr>
        <w:tblPrEx/>
        <w:trPr>
          <w:trHeight w:val="607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402" w:type="dxa"/>
            <w:textDirection w:val="lrTb"/>
            <w:noWrap w:val="false"/>
          </w:tcPr>
          <w:p>
            <w:pPr>
              <w:pStyle w:val="894"/>
              <w:jc w:val="center"/>
              <w:spacing w:before="0" w:after="0"/>
              <w:rPr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Наименование</w:t>
            </w:r>
            <w:r>
              <w:rPr>
                <w:color w:val="000000" w:themeColor="text1"/>
                <w:spacing w:val="-12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  <w:szCs w:val="24"/>
                <w:shd w:val="clear" w:color="auto" w:fill="auto"/>
                <w:lang w:eastAsia="en-US" w:bidi="ar-SA"/>
              </w:rPr>
              <w:t xml:space="preserve">заявителя</w:t>
            </w:r>
            <w:r>
              <w:rPr>
                <w:color w:val="000000" w:themeColor="text1"/>
                <w:highlight w:val="none"/>
                <w:shd w:val="clear" w:color="auto" w:fill="auto"/>
              </w:rPr>
            </w:r>
            <w:r>
              <w:rPr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544" w:type="dxa"/>
            <w:textDirection w:val="lrTb"/>
            <w:noWrap w:val="false"/>
          </w:tcPr>
          <w:p>
            <w:pPr>
              <w:pStyle w:val="894"/>
              <w:jc w:val="center"/>
              <w:spacing w:before="0" w:after="0"/>
              <w:rPr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Фамилия,</w:t>
            </w:r>
            <w:r>
              <w:rPr>
                <w:color w:val="000000" w:themeColor="text1"/>
                <w:spacing w:val="-4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имя,</w:t>
            </w:r>
            <w:r>
              <w:rPr>
                <w:color w:val="000000" w:themeColor="text1"/>
                <w:spacing w:val="-3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отчество</w:t>
            </w:r>
            <w:r>
              <w:rPr>
                <w:color w:val="000000" w:themeColor="text1"/>
                <w:spacing w:val="-3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  <w:szCs w:val="24"/>
                <w:shd w:val="clear" w:color="auto" w:fill="auto"/>
                <w:lang w:eastAsia="en-US" w:bidi="ar-SA"/>
              </w:rPr>
              <w:t xml:space="preserve">(последнее </w:t>
            </w: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-</w:t>
            </w:r>
            <w:r>
              <w:rPr>
                <w:color w:val="000000" w:themeColor="text1"/>
                <w:spacing w:val="-4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при</w:t>
            </w:r>
            <w:r>
              <w:rPr>
                <w:color w:val="000000" w:themeColor="text1"/>
                <w:spacing w:val="-3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наличии)</w:t>
            </w:r>
            <w:r>
              <w:rPr>
                <w:color w:val="000000" w:themeColor="text1"/>
                <w:spacing w:val="-3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  <w:szCs w:val="24"/>
                <w:shd w:val="clear" w:color="auto" w:fill="auto"/>
                <w:lang w:eastAsia="en-US" w:bidi="ar-SA"/>
              </w:rPr>
              <w:t xml:space="preserve">руководителя</w:t>
            </w:r>
            <w:r>
              <w:rPr>
                <w:color w:val="000000" w:themeColor="text1"/>
                <w:highlight w:val="none"/>
                <w:shd w:val="clear" w:color="auto" w:fill="auto"/>
              </w:rPr>
            </w:r>
            <w:r>
              <w:rPr>
                <w:color w:val="000000" w:themeColor="text1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260" w:type="dxa"/>
            <w:textDirection w:val="lrTb"/>
            <w:noWrap w:val="false"/>
          </w:tcPr>
          <w:p>
            <w:pPr>
              <w:pStyle w:val="894"/>
              <w:jc w:val="center"/>
              <w:spacing w:before="0" w:after="0"/>
              <w:rPr>
                <w:color w:val="000000" w:themeColor="text1"/>
                <w:highlight w:val="none"/>
                <w:shd w:val="clear" w:color="auto" w:fill="auto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Место</w:t>
            </w:r>
            <w:r>
              <w:rPr>
                <w:color w:val="000000" w:themeColor="text1"/>
                <w:spacing w:val="-14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нахождения</w:t>
            </w:r>
            <w:r>
              <w:rPr>
                <w:color w:val="000000" w:themeColor="text1"/>
                <w:spacing w:val="-14"/>
                <w:sz w:val="24"/>
                <w:szCs w:val="24"/>
                <w:shd w:val="clear" w:color="auto" w:fill="auto"/>
                <w:lang w:eastAsia="en-US" w:bidi="ar-S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auto"/>
                <w:lang w:eastAsia="en-US" w:bidi="ar-SA"/>
              </w:rPr>
              <w:t xml:space="preserve">заявителя, телефон, электронный адрес</w:t>
            </w:r>
            <w:r>
              <w:rPr>
                <w:color w:val="000000" w:themeColor="text1"/>
                <w:highlight w:val="none"/>
                <w:shd w:val="clear" w:color="auto" w:fill="auto"/>
              </w:rPr>
            </w:r>
            <w:r>
              <w:rPr>
                <w:color w:val="000000" w:themeColor="text1"/>
                <w:highlight w:val="none"/>
                <w:shd w:val="clear" w:color="auto" w:fill="auto"/>
              </w:rPr>
            </w:r>
          </w:p>
        </w:tc>
      </w:tr>
      <w:tr>
        <w:tblPrEx/>
        <w:trPr>
          <w:trHeight w:val="357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402" w:type="dxa"/>
            <w:textDirection w:val="lrTb"/>
            <w:noWrap w:val="false"/>
          </w:tcPr>
          <w:p>
            <w:pPr>
              <w:pStyle w:val="894"/>
              <w:jc w:val="both"/>
              <w:spacing w:before="0" w:after="0"/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auto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544" w:type="dxa"/>
            <w:textDirection w:val="lrTb"/>
            <w:noWrap w:val="false"/>
          </w:tcPr>
          <w:p>
            <w:pPr>
              <w:pStyle w:val="894"/>
              <w:jc w:val="both"/>
              <w:spacing w:before="0" w:after="0"/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auto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260" w:type="dxa"/>
            <w:textDirection w:val="lrTb"/>
            <w:noWrap w:val="false"/>
          </w:tcPr>
          <w:p>
            <w:pPr>
              <w:pStyle w:val="894"/>
              <w:jc w:val="both"/>
              <w:spacing w:before="0" w:after="0"/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auto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color w:val="000000" w:themeColor="text1"/>
                <w:sz w:val="24"/>
                <w:szCs w:val="24"/>
                <w:highlight w:val="none"/>
                <w:shd w:val="clear" w:color="auto" w:fill="auto"/>
              </w:rPr>
            </w:r>
          </w:p>
        </w:tc>
      </w:tr>
    </w:tbl>
    <w:p>
      <w:pPr>
        <w:pStyle w:val="887"/>
        <w:ind w:left="0" w:firstLine="709"/>
        <w:rPr>
          <w:b/>
          <w:color w:val="000000" w:themeColor="text1"/>
          <w:sz w:val="24"/>
          <w:szCs w:val="24"/>
          <w:highlight w:val="none"/>
          <w:shd w:val="clear" w:color="auto" w:fill="auto"/>
        </w:rPr>
      </w:pPr>
      <w:r>
        <w:rPr>
          <w:b/>
          <w:color w:val="000000" w:themeColor="text1"/>
          <w:sz w:val="24"/>
          <w:szCs w:val="24"/>
          <w:shd w:val="clear" w:color="auto" w:fill="auto"/>
        </w:rPr>
      </w:r>
      <w:r>
        <w:rPr>
          <w:b/>
          <w:color w:val="000000" w:themeColor="text1"/>
          <w:sz w:val="24"/>
          <w:szCs w:val="24"/>
          <w:highlight w:val="none"/>
          <w:shd w:val="clear" w:color="auto" w:fill="auto"/>
        </w:rPr>
      </w:r>
      <w:r>
        <w:rPr>
          <w:b/>
          <w:color w:val="000000" w:themeColor="text1"/>
          <w:sz w:val="24"/>
          <w:szCs w:val="24"/>
          <w:highlight w:val="none"/>
          <w:shd w:val="clear" w:color="auto" w:fill="auto"/>
        </w:rPr>
      </w:r>
    </w:p>
    <w:p>
      <w:pPr>
        <w:pStyle w:val="887"/>
        <w:ind w:left="0" w:firstLine="709"/>
        <w:tabs>
          <w:tab w:val="clear" w:pos="720" w:leader="none"/>
          <w:tab w:val="left" w:pos="7551" w:leader="none"/>
        </w:tabs>
        <w:rPr>
          <w:color w:val="000000" w:themeColor="text1"/>
          <w:highlight w:val="none"/>
          <w:shd w:val="clear" w:color="auto" w:fill="auto"/>
        </w:rPr>
      </w:pPr>
      <w:r>
        <w:rPr>
          <w:color w:val="000000" w:themeColor="text1"/>
          <w:sz w:val="24"/>
          <w:szCs w:val="24"/>
          <w:shd w:val="clear" w:color="auto" w:fill="auto"/>
        </w:rPr>
        <w:t xml:space="preserve">Размер гранта: </w:t>
      </w:r>
      <w:r>
        <w:rPr>
          <w:color w:val="000000" w:themeColor="text1"/>
          <w:sz w:val="24"/>
          <w:szCs w:val="24"/>
          <w:u w:val="single"/>
          <w:shd w:val="clear" w:color="auto" w:fill="auto"/>
        </w:rPr>
        <w:tab/>
      </w:r>
      <w:r>
        <w:rPr>
          <w:color w:val="000000" w:themeColor="text1"/>
          <w:spacing w:val="-10"/>
          <w:sz w:val="24"/>
          <w:szCs w:val="24"/>
          <w:shd w:val="clear" w:color="auto" w:fill="auto"/>
        </w:rPr>
        <w:t xml:space="preserve">.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7"/>
        <w:ind w:left="0" w:firstLine="709"/>
        <w:tabs>
          <w:tab w:val="clear" w:pos="720" w:leader="none"/>
          <w:tab w:val="left" w:pos="2575" w:leader="none"/>
          <w:tab w:val="left" w:pos="4453" w:leader="none"/>
          <w:tab w:val="left" w:pos="6116" w:leader="none"/>
          <w:tab w:val="left" w:pos="7569" w:leader="none"/>
          <w:tab w:val="left" w:pos="9201" w:leader="none"/>
        </w:tabs>
        <w:rPr>
          <w:color w:val="000000" w:themeColor="text1"/>
          <w:highlight w:val="none"/>
          <w:shd w:val="clear" w:color="auto" w:fill="auto"/>
        </w:rPr>
      </w:pPr>
      <w:r>
        <w:rPr>
          <w:color w:val="000000" w:themeColor="text1"/>
          <w:spacing w:val="-2"/>
          <w:sz w:val="24"/>
          <w:szCs w:val="24"/>
          <w:shd w:val="clear" w:color="auto" w:fill="auto"/>
        </w:rPr>
        <w:t xml:space="preserve">Наименование</w:t>
      </w:r>
      <w:r>
        <w:rPr>
          <w:color w:val="000000" w:themeColor="text1"/>
          <w:sz w:val="24"/>
          <w:szCs w:val="24"/>
          <w:shd w:val="clear" w:color="auto" w:fill="auto"/>
        </w:rPr>
        <w:t xml:space="preserve"> </w:t>
      </w:r>
      <w:r>
        <w:rPr>
          <w:color w:val="000000" w:themeColor="text1"/>
          <w:spacing w:val="-2"/>
          <w:sz w:val="24"/>
          <w:szCs w:val="24"/>
          <w:shd w:val="clear" w:color="auto" w:fill="auto"/>
        </w:rPr>
        <w:t xml:space="preserve">приоритетного</w:t>
      </w:r>
      <w:r>
        <w:rPr>
          <w:color w:val="000000" w:themeColor="text1"/>
          <w:sz w:val="24"/>
          <w:szCs w:val="24"/>
          <w:shd w:val="clear" w:color="auto" w:fill="auto"/>
        </w:rPr>
        <w:t xml:space="preserve"> </w:t>
      </w:r>
      <w:r>
        <w:rPr>
          <w:color w:val="000000" w:themeColor="text1"/>
          <w:spacing w:val="-2"/>
          <w:sz w:val="24"/>
          <w:szCs w:val="24"/>
          <w:shd w:val="clear" w:color="auto" w:fill="auto"/>
        </w:rPr>
        <w:t xml:space="preserve">направления</w:t>
      </w:r>
      <w:r>
        <w:rPr>
          <w:color w:val="000000" w:themeColor="text1"/>
          <w:sz w:val="24"/>
          <w:szCs w:val="24"/>
          <w:shd w:val="clear" w:color="auto" w:fill="auto"/>
        </w:rPr>
        <w:t xml:space="preserve"> </w:t>
      </w:r>
      <w:r>
        <w:rPr>
          <w:color w:val="000000" w:themeColor="text1"/>
          <w:spacing w:val="-2"/>
          <w:sz w:val="24"/>
          <w:szCs w:val="24"/>
          <w:shd w:val="clear" w:color="auto" w:fill="auto"/>
        </w:rPr>
        <w:t xml:space="preserve">передовой</w:t>
      </w:r>
      <w:r>
        <w:rPr>
          <w:color w:val="000000" w:themeColor="text1"/>
          <w:sz w:val="24"/>
          <w:szCs w:val="24"/>
          <w:shd w:val="clear" w:color="auto" w:fill="auto"/>
        </w:rPr>
        <w:t xml:space="preserve"> </w:t>
      </w:r>
      <w:r>
        <w:rPr>
          <w:color w:val="000000" w:themeColor="text1"/>
          <w:spacing w:val="-2"/>
          <w:sz w:val="24"/>
          <w:szCs w:val="24"/>
          <w:shd w:val="clear" w:color="auto" w:fill="auto"/>
        </w:rPr>
        <w:t xml:space="preserve">инженерной</w:t>
      </w:r>
      <w:r>
        <w:rPr>
          <w:color w:val="000000" w:themeColor="text1"/>
          <w:sz w:val="24"/>
          <w:szCs w:val="24"/>
          <w:shd w:val="clear" w:color="auto" w:fill="auto"/>
        </w:rPr>
        <w:t xml:space="preserve"> </w:t>
      </w:r>
      <w:r>
        <w:rPr>
          <w:color w:val="000000" w:themeColor="text1"/>
          <w:spacing w:val="-2"/>
          <w:sz w:val="24"/>
          <w:szCs w:val="24"/>
          <w:shd w:val="clear" w:color="auto" w:fill="auto"/>
        </w:rPr>
        <w:t xml:space="preserve">школы:________________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7"/>
        <w:ind w:left="0" w:firstLine="0"/>
        <w:tabs>
          <w:tab w:val="clear" w:pos="720" w:leader="none"/>
          <w:tab w:val="left" w:pos="2575" w:leader="none"/>
          <w:tab w:val="left" w:pos="4453" w:leader="none"/>
          <w:tab w:val="left" w:pos="6116" w:leader="none"/>
          <w:tab w:val="left" w:pos="7569" w:leader="none"/>
          <w:tab w:val="left" w:pos="9201" w:leader="none"/>
        </w:tabs>
        <w:rPr>
          <w:color w:val="000000" w:themeColor="text1"/>
          <w:highlight w:val="none"/>
          <w:shd w:val="clear" w:color="auto" w:fill="auto"/>
        </w:rPr>
      </w:pPr>
      <w:r>
        <w:rPr>
          <w:color w:val="000000" w:themeColor="text1"/>
          <w:spacing w:val="-2"/>
          <w:sz w:val="24"/>
          <w:szCs w:val="24"/>
          <w:shd w:val="clear" w:color="auto" w:fill="auto"/>
        </w:rPr>
        <w:t xml:space="preserve">______________________________________________________________________________________</w:t>
      </w:r>
      <w:r>
        <w:rPr>
          <w:color w:val="000000" w:themeColor="text1"/>
          <w:highlight w:val="none"/>
          <w:shd w:val="clear" w:color="auto" w:fill="auto"/>
        </w:rPr>
      </w:r>
      <w:r>
        <w:rPr>
          <w:color w:val="000000" w:themeColor="text1"/>
          <w:highlight w:val="none"/>
          <w:shd w:val="clear" w:color="auto" w:fill="auto"/>
        </w:rPr>
      </w:r>
    </w:p>
    <w:p>
      <w:pPr>
        <w:pStyle w:val="887"/>
        <w:ind w:left="0" w:firstLine="0"/>
      </w:pPr>
      <w:r>
        <w:rPr>
          <w:color w:val="000000" w:themeColor="text1"/>
          <w:sz w:val="24"/>
          <w:szCs w:val="24"/>
          <w:shd w:val="clear" w:color="auto" w:fill="auto"/>
        </w:rPr>
        <w:t xml:space="preserve">Настоящей заявкой заявитель подтверждает соответствие требованиям, установленным пунктом </w:t>
      </w:r>
      <w:hyperlink w:tooltip="#_bookmark6" w:anchor="_bookmark6" w:history="1">
        <w:r>
          <w:rPr>
            <w:color w:val="000000" w:themeColor="text1"/>
            <w:sz w:val="24"/>
            <w:szCs w:val="24"/>
            <w:shd w:val="clear" w:color="auto" w:fill="auto"/>
          </w:rPr>
          <w:t xml:space="preserve">8</w:t>
        </w:r>
      </w:hyperlink>
      <w:r>
        <w:rPr>
          <w:color w:val="000000" w:themeColor="text1"/>
          <w:sz w:val="24"/>
          <w:szCs w:val="24"/>
          <w:shd w:val="clear" w:color="auto" w:fill="auto"/>
        </w:rPr>
        <w:t xml:space="preserve"> Порядка предоставления в </w:t>
      </w:r>
      <w:r>
        <w:rPr>
          <w:rFonts w:eastAsia="Times New Roman" w:cs="Times New Roman"/>
          <w:color w:val="000000" w:themeColor="text1"/>
          <w:sz w:val="24"/>
          <w:szCs w:val="24"/>
          <w:shd w:val="clear" w:color="auto" w:fill="auto"/>
          <w:lang w:val="ru-RU"/>
        </w:rPr>
        <w:t xml:space="preserve">2025 год</w:t>
      </w:r>
      <w:r>
        <w:rPr>
          <w:rFonts w:eastAsia="Times New Roman" w:cs="Times New Roman"/>
          <w:color w:val="000000" w:themeColor="text1"/>
          <w:sz w:val="24"/>
          <w:szCs w:val="24"/>
          <w:shd w:val="clear" w:color="auto" w:fill="auto"/>
          <w:lang w:val="ru-RU"/>
        </w:rPr>
        <w:t xml:space="preserve">у грантов в форме субсидий «Поддержка програм</w:t>
      </w:r>
      <w:r>
        <w:rPr>
          <w:rFonts w:eastAsia="Times New Roman" w:cs="Times New Roman"/>
          <w:sz w:val="24"/>
          <w:szCs w:val="24"/>
          <w:shd w:val="clear" w:color="auto" w:fill="auto"/>
          <w:lang w:val="ru-RU"/>
        </w:rPr>
        <w:t xml:space="preserve">м развития передовых инженерных школ» федеральному государственному бюджетному образовательному учреждению высшего образования «Казанский национальный исследовательский технический университет им. А.Н. Туполева </w:t>
      </w:r>
      <w:r>
        <w:rPr>
          <w:rFonts w:eastAsia="Times New Roman" w:cs="Times New Roman"/>
          <w:caps w:val="0"/>
          <w:smallCaps w:val="0"/>
          <w:color w:val="0a579e"/>
          <w:spacing w:val="-15"/>
          <w:sz w:val="24"/>
          <w:szCs w:val="24"/>
          <w:shd w:val="clear" w:color="auto" w:fill="auto"/>
          <w:lang w:val="ru-RU"/>
        </w:rPr>
        <w:t xml:space="preserve">–</w:t>
      </w:r>
      <w:r>
        <w:rPr>
          <w:rFonts w:eastAsia="Times New Roman" w:cs="Times New Roman"/>
          <w:sz w:val="24"/>
          <w:szCs w:val="24"/>
          <w:shd w:val="clear" w:color="auto" w:fill="auto"/>
          <w:lang w:val="ru-RU"/>
        </w:rPr>
        <w:t xml:space="preserve"> КАИ» и государственному</w:t>
      </w:r>
      <w:r>
        <w:rPr>
          <w:rFonts w:eastAsia="Times New Roman" w:cs="Times New Roman"/>
          <w:sz w:val="24"/>
          <w:szCs w:val="24"/>
          <w:shd w:val="clear" w:color="auto" w:fill="auto"/>
          <w:lang w:val="ru-RU"/>
        </w:rPr>
        <w:t xml:space="preserve"> а</w:t>
      </w:r>
      <w:r>
        <w:rPr>
          <w:rFonts w:eastAsia="Times New Roman" w:cs="Times New Roman"/>
          <w:sz w:val="24"/>
          <w:szCs w:val="24"/>
          <w:shd w:val="clear" w:color="auto" w:fill="auto"/>
          <w:lang w:val="ru-RU"/>
        </w:rPr>
        <w:t xml:space="preserve">втономному образовательному учреждению высшего образования «Альметьевский государственный технологический университет «Высшая школа нефти», утвержденного постановлением Кабинета Министров Республики Татарстан от ____ 2025 № ___ «О предоставлении в 2025 год</w:t>
      </w:r>
      <w:r>
        <w:rPr>
          <w:rFonts w:eastAsia="Times New Roman" w:cs="Times New Roman"/>
          <w:sz w:val="24"/>
          <w:szCs w:val="24"/>
          <w:shd w:val="clear" w:color="auto" w:fill="auto"/>
          <w:lang w:val="ru-RU"/>
        </w:rPr>
        <w:t xml:space="preserve">у грантов в форме субсидий «Поддержка программ развития передовых инженерных школ» федеральному государственному бюджетному образовательному учреждению высшего образования «Казанский национальный исследовательский технический университет им. А.Н. Туполева </w:t>
      </w:r>
      <w:r>
        <w:rPr>
          <w:rFonts w:eastAsia="Times New Roman" w:cs="Times New Roman"/>
          <w:caps w:val="0"/>
          <w:smallCaps w:val="0"/>
          <w:color w:val="0a579e"/>
          <w:spacing w:val="-15"/>
          <w:sz w:val="24"/>
          <w:szCs w:val="24"/>
          <w:shd w:val="clear" w:color="auto" w:fill="auto"/>
          <w:lang w:val="ru-RU"/>
        </w:rPr>
        <w:t xml:space="preserve">– </w:t>
      </w:r>
      <w:r>
        <w:rPr>
          <w:rFonts w:eastAsia="Times New Roman" w:cs="Times New Roman"/>
          <w:sz w:val="24"/>
          <w:szCs w:val="24"/>
          <w:shd w:val="clear" w:color="auto" w:fill="auto"/>
          <w:lang w:val="ru-RU"/>
        </w:rPr>
        <w:t xml:space="preserve">КАИ» и государственному автономному образовательному учреждению высшего образования Альметьевский государственный технологический университет «Высшая школа нефти»</w:t>
      </w:r>
      <w:r>
        <w:rPr>
          <w:color w:val="00b050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(далее </w:t>
      </w:r>
      <w:r>
        <w:rPr>
          <w:caps w:val="0"/>
          <w:smallCaps w:val="0"/>
          <w:color w:val="0a579e"/>
          <w:spacing w:val="-15"/>
          <w:sz w:val="24"/>
          <w:szCs w:val="24"/>
          <w:shd w:val="clear" w:color="auto" w:fill="auto"/>
        </w:rPr>
        <w:t xml:space="preserve">– </w:t>
      </w:r>
      <w:r>
        <w:rPr>
          <w:sz w:val="24"/>
          <w:szCs w:val="24"/>
          <w:shd w:val="clear" w:color="auto" w:fill="auto"/>
        </w:rPr>
        <w:t xml:space="preserve">Порядок), и в соответствии с пунктом 7 Порядка выражает свое согласие на осуществление</w:t>
      </w:r>
      <w:r>
        <w:rPr>
          <w:sz w:val="24"/>
          <w:szCs w:val="24"/>
          <w:shd w:val="clear" w:color="auto" w:fill="auto"/>
        </w:rPr>
        <w:t xml:space="preserve"> в отношении него, а также лиц, получающих средства на основании договоров, заключенных с образовательной организацией высшего образования (за исключением государственных (муниципальных) унитарных предприятий, хозяйственных товариществ и обществ с участием</w:t>
      </w:r>
      <w:r>
        <w:rPr>
          <w:spacing w:val="40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публично-правовых образований в их уставных (складочных) капиталах, а также коммерческих организаций</w:t>
      </w:r>
      <w:r>
        <w:rPr>
          <w:spacing w:val="-1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с</w:t>
      </w:r>
      <w:r>
        <w:rPr>
          <w:spacing w:val="-1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участием</w:t>
      </w:r>
      <w:r>
        <w:rPr>
          <w:spacing w:val="-1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таких товариществ</w:t>
      </w:r>
      <w:r>
        <w:rPr>
          <w:spacing w:val="-1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и</w:t>
      </w:r>
      <w:r>
        <w:rPr>
          <w:spacing w:val="-1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обществ</w:t>
      </w:r>
      <w:r>
        <w:rPr>
          <w:spacing w:val="-1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в</w:t>
      </w:r>
      <w:r>
        <w:rPr>
          <w:spacing w:val="-1"/>
          <w:sz w:val="24"/>
          <w:szCs w:val="24"/>
          <w:shd w:val="clear" w:color="auto" w:fill="auto"/>
        </w:rPr>
        <w:t xml:space="preserve"> </w:t>
      </w:r>
      <w:r>
        <w:rPr>
          <w:sz w:val="24"/>
          <w:szCs w:val="24"/>
          <w:shd w:val="clear" w:color="auto" w:fill="auto"/>
        </w:rPr>
        <w:t xml:space="preserve">их уставных (складочных) капиталах), проверки Академией наук Республики Татарстан соблюдения порядка и условий предоставления гранта, в том числе в ч</w:t>
      </w:r>
      <w:r>
        <w:rPr>
          <w:sz w:val="24"/>
          <w:szCs w:val="24"/>
          <w:shd w:val="clear" w:color="auto" w:fill="auto"/>
        </w:rPr>
        <w:t xml:space="preserve">асти достижения результатов предоставления гранта, а также проверки органами государственного финансового контроля в соответствии со статьями 268.1 и 269.2 Бюджетного кодекса Российской Федерации и на включение таких положений в соглашение о предоставлении</w:t>
      </w:r>
      <w:r>
        <w:rPr>
          <w:spacing w:val="40"/>
          <w:sz w:val="24"/>
          <w:szCs w:val="24"/>
          <w:shd w:val="clear" w:color="auto" w:fill="auto"/>
        </w:rPr>
        <w:t xml:space="preserve"> </w:t>
      </w:r>
      <w:r>
        <w:rPr>
          <w:spacing w:val="-2"/>
          <w:sz w:val="24"/>
          <w:szCs w:val="24"/>
          <w:shd w:val="clear" w:color="auto" w:fill="auto"/>
        </w:rPr>
        <w:t xml:space="preserve">гранта.</w:t>
      </w:r>
      <w:r/>
    </w:p>
    <w:p>
      <w:pPr>
        <w:pStyle w:val="887"/>
        <w:ind w:left="0" w:firstLine="709"/>
        <w:rPr>
          <w:sz w:val="24"/>
          <w:szCs w:val="24"/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</w:p>
    <w:p>
      <w:pPr>
        <w:pStyle w:val="887"/>
        <w:ind w:left="0" w:firstLine="709"/>
        <w:tabs>
          <w:tab w:val="clear" w:pos="720" w:leader="none"/>
          <w:tab w:val="left" w:pos="2786" w:leader="none"/>
        </w:tabs>
        <w:rPr>
          <w:highlight w:val="none"/>
          <w:shd w:val="clear" w:color="auto" w:fill="auto"/>
        </w:rPr>
      </w:pPr>
      <w:r>
        <w:rPr>
          <w:spacing w:val="-2"/>
          <w:sz w:val="24"/>
          <w:szCs w:val="24"/>
          <w:shd w:val="clear" w:color="auto" w:fill="auto"/>
        </w:rPr>
        <w:t xml:space="preserve">Приложения: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2127" w:firstLine="0"/>
        <w:rPr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1.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2127" w:firstLine="0"/>
        <w:rPr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2.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87"/>
        <w:ind w:left="0" w:firstLine="709"/>
        <w:tabs>
          <w:tab w:val="clear" w:pos="720" w:leader="none"/>
          <w:tab w:val="left" w:pos="2786" w:leader="none"/>
        </w:tabs>
        <w:rPr>
          <w:sz w:val="24"/>
          <w:szCs w:val="24"/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</w:p>
    <w:p>
      <w:pPr>
        <w:pStyle w:val="887"/>
        <w:ind w:left="0" w:firstLine="709"/>
        <w:tabs>
          <w:tab w:val="clear" w:pos="720" w:leader="none"/>
          <w:tab w:val="left" w:pos="2786" w:leader="none"/>
        </w:tabs>
        <w:rPr>
          <w:sz w:val="24"/>
          <w:szCs w:val="24"/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</w:p>
    <w:tbl>
      <w:tblPr>
        <w:tblStyle w:val="903"/>
        <w:tblW w:w="1031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63"/>
        <w:gridCol w:w="2840"/>
        <w:gridCol w:w="3260"/>
        <w:gridCol w:w="255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3" w:type="dxa"/>
            <w:vAlign w:val="bottom"/>
            <w:textDirection w:val="lrTb"/>
            <w:noWrap w:val="false"/>
          </w:tcPr>
          <w:p>
            <w:pPr>
              <w:pStyle w:val="887"/>
              <w:ind w:left="0" w:firstLine="0"/>
              <w:jc w:val="center"/>
              <w:spacing w:before="0" w:after="0"/>
              <w:tabs>
                <w:tab w:val="clear" w:pos="720" w:leader="none"/>
                <w:tab w:val="left" w:pos="2786" w:leader="none"/>
              </w:tabs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  <w:lang w:eastAsia="en-US" w:bidi="ar-SA"/>
              </w:rPr>
              <w:t xml:space="preserve">Заявитель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0" w:type="dxa"/>
            <w:textDirection w:val="lrTb"/>
            <w:noWrap w:val="false"/>
          </w:tcPr>
          <w:p>
            <w:pPr>
              <w:pStyle w:val="887"/>
              <w:ind w:left="0" w:firstLine="0"/>
              <w:jc w:val="center"/>
              <w:spacing w:before="0" w:after="0"/>
              <w:tabs>
                <w:tab w:val="clear" w:pos="720" w:leader="none"/>
                <w:tab w:val="left" w:pos="2786" w:leader="none"/>
              </w:tabs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  <w:lang w:eastAsia="en-US" w:bidi="ar-SA"/>
              </w:rPr>
              <w:t xml:space="preserve">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887"/>
              <w:ind w:left="0" w:firstLine="0"/>
              <w:jc w:val="center"/>
              <w:spacing w:before="0" w:after="0"/>
              <w:tabs>
                <w:tab w:val="clear" w:pos="720" w:leader="none"/>
                <w:tab w:val="left" w:pos="2786" w:leader="none"/>
              </w:tabs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  <w:lang w:eastAsia="en-US" w:bidi="ar-SA"/>
              </w:rPr>
              <w:t xml:space="preserve">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0" w:type="dxa"/>
            <w:textDirection w:val="lrTb"/>
            <w:noWrap w:val="false"/>
          </w:tcPr>
          <w:p>
            <w:pPr>
              <w:pStyle w:val="887"/>
              <w:ind w:left="0" w:firstLine="0"/>
              <w:jc w:val="center"/>
              <w:spacing w:before="0" w:after="0"/>
              <w:tabs>
                <w:tab w:val="clear" w:pos="720" w:leader="none"/>
                <w:tab w:val="left" w:pos="2786" w:leader="none"/>
              </w:tabs>
              <w:rPr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  <w:lang w:eastAsia="en-US" w:bidi="ar-SA"/>
              </w:rPr>
              <w:t xml:space="preserve">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3" w:type="dxa"/>
            <w:textDirection w:val="lrTb"/>
            <w:noWrap w:val="false"/>
          </w:tcPr>
          <w:p>
            <w:pPr>
              <w:pStyle w:val="887"/>
              <w:ind w:left="0" w:firstLine="0"/>
              <w:spacing w:before="0" w:after="0"/>
              <w:tabs>
                <w:tab w:val="clear" w:pos="720" w:leader="none"/>
                <w:tab w:val="left" w:pos="2786" w:leader="none"/>
              </w:tabs>
              <w:rPr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0" w:type="dxa"/>
            <w:textDirection w:val="lrTb"/>
            <w:noWrap w:val="false"/>
          </w:tcPr>
          <w:p>
            <w:pPr>
              <w:pStyle w:val="887"/>
              <w:ind w:left="0" w:firstLine="0"/>
              <w:jc w:val="center"/>
              <w:spacing w:before="0" w:after="0"/>
              <w:tabs>
                <w:tab w:val="clear" w:pos="720" w:leader="none"/>
                <w:tab w:val="left" w:pos="2786" w:leader="none"/>
              </w:tabs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eastAsia="en-US" w:bidi="ar-SA"/>
              </w:rPr>
              <w:t xml:space="preserve">(наименование заявителя)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887"/>
              <w:ind w:left="0" w:firstLine="0"/>
              <w:jc w:val="center"/>
              <w:spacing w:before="0" w:after="0"/>
              <w:tabs>
                <w:tab w:val="clear" w:pos="720" w:leader="none"/>
                <w:tab w:val="left" w:pos="2786" w:leader="none"/>
              </w:tabs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eastAsia="en-US" w:bidi="ar-SA"/>
              </w:rPr>
              <w:t xml:space="preserve">(фамилия, инициалы руководителя)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0" w:type="dxa"/>
            <w:textDirection w:val="lrTb"/>
            <w:noWrap w:val="false"/>
          </w:tcPr>
          <w:p>
            <w:pPr>
              <w:pStyle w:val="887"/>
              <w:ind w:left="0" w:firstLine="0"/>
              <w:jc w:val="center"/>
              <w:spacing w:before="0" w:after="0"/>
              <w:tabs>
                <w:tab w:val="clear" w:pos="720" w:leader="none"/>
                <w:tab w:val="left" w:pos="2786" w:leader="none"/>
              </w:tabs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eastAsia="en-US" w:bidi="ar-SA"/>
              </w:rPr>
              <w:t xml:space="preserve">(подпись)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887"/>
        <w:ind w:left="0" w:firstLine="709"/>
        <w:tabs>
          <w:tab w:val="clear" w:pos="720" w:leader="none"/>
          <w:tab w:val="left" w:pos="2786" w:leader="none"/>
        </w:tabs>
        <w:rPr>
          <w:sz w:val="24"/>
          <w:szCs w:val="24"/>
          <w:highlight w:val="none"/>
          <w:shd w:val="clear" w:color="auto" w:fill="auto"/>
        </w:rPr>
      </w:pPr>
      <w:r>
        <w:rPr>
          <w:sz w:val="24"/>
          <w:szCs w:val="24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</w:p>
    <w:sectPr>
      <w:headerReference w:type="default" r:id="rId10"/>
      <w:footnotePr/>
      <w:endnotePr/>
      <w:type w:val="nextPage"/>
      <w:pgSz w:w="11906" w:h="16838" w:orient="portrait"/>
      <w:pgMar w:top="1134" w:right="567" w:bottom="1134" w:left="1134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Devanagari">
    <w:panose1 w:val="020B0502040504020204"/>
  </w:font>
  <w:font w:name="Tahoma">
    <w:panose1 w:val="020B0604030504040204"/>
  </w:font>
  <w:font w:name="Liberation Serif">
    <w:panose1 w:val="020206030504050203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  <w:jc w:val="center"/>
    </w:pPr>
    <w:r>
      <w:rPr>
        <w:highlight w:val="none"/>
      </w:rPr>
    </w:r>
    <w:r>
      <w:rPr>
        <w:highlight w:val="none"/>
      </w:rPr>
    </w:r>
    <w:r/>
  </w:p>
  <w:p>
    <w:pPr>
      <w:pStyle w:val="898"/>
      <w:jc w:val="center"/>
      <w:rPr>
        <w:highlight w:val="none"/>
      </w:rPr>
    </w:pPr>
    <w:fldSimple w:instr="PAGE \* MERGEFORMAT">
      <w:r>
        <w:t xml:space="preserve">2</w:t>
      </w:r>
    </w:fldSimple>
    <w:r/>
    <w:r>
      <w:rPr>
        <w:highlight w:val="none"/>
      </w:rPr>
    </w:r>
  </w:p>
  <w:p>
    <w:pPr>
      <w:pStyle w:val="89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  <w:jc w:val="center"/>
    </w:pPr>
    <w:r>
      <w:rPr>
        <w:highlight w:val="none"/>
      </w:rPr>
    </w:r>
    <w:r>
      <w:rPr>
        <w:highlight w:val="none"/>
      </w:rPr>
    </w:r>
    <w:r/>
  </w:p>
  <w:p>
    <w:pPr>
      <w:pStyle w:val="898"/>
      <w:jc w:val="center"/>
    </w:pPr>
    <w:r>
      <w:t xml:space="preserve">2</w: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10">
    <w:name w:val="No List"/>
    <w:uiPriority w:val="99"/>
    <w:semiHidden/>
    <w:unhideWhenUsed/>
  </w:style>
  <w:style w:type="character" w:styleId="711">
    <w:name w:val="Heading 1 Char"/>
    <w:basedOn w:val="883"/>
    <w:link w:val="882"/>
    <w:uiPriority w:val="9"/>
    <w:rPr>
      <w:rFonts w:ascii="Arial" w:hAnsi="Arial" w:eastAsia="Arial" w:cs="Arial"/>
      <w:sz w:val="40"/>
      <w:szCs w:val="40"/>
    </w:rPr>
  </w:style>
  <w:style w:type="paragraph" w:styleId="712">
    <w:name w:val="Heading 2"/>
    <w:basedOn w:val="881"/>
    <w:next w:val="881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3">
    <w:name w:val="Heading 2 Char"/>
    <w:basedOn w:val="883"/>
    <w:link w:val="712"/>
    <w:uiPriority w:val="9"/>
    <w:rPr>
      <w:rFonts w:ascii="Arial" w:hAnsi="Arial" w:eastAsia="Arial" w:cs="Arial"/>
      <w:sz w:val="34"/>
    </w:rPr>
  </w:style>
  <w:style w:type="paragraph" w:styleId="714">
    <w:name w:val="Heading 3"/>
    <w:basedOn w:val="881"/>
    <w:next w:val="881"/>
    <w:link w:val="7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basedOn w:val="883"/>
    <w:link w:val="714"/>
    <w:uiPriority w:val="9"/>
    <w:rPr>
      <w:rFonts w:ascii="Arial" w:hAnsi="Arial" w:eastAsia="Arial" w:cs="Arial"/>
      <w:sz w:val="30"/>
      <w:szCs w:val="30"/>
    </w:rPr>
  </w:style>
  <w:style w:type="paragraph" w:styleId="716">
    <w:name w:val="Heading 4"/>
    <w:basedOn w:val="881"/>
    <w:next w:val="881"/>
    <w:link w:val="7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basedOn w:val="883"/>
    <w:link w:val="716"/>
    <w:uiPriority w:val="9"/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881"/>
    <w:next w:val="881"/>
    <w:link w:val="7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basedOn w:val="883"/>
    <w:link w:val="718"/>
    <w:uiPriority w:val="9"/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881"/>
    <w:next w:val="881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basedOn w:val="883"/>
    <w:link w:val="720"/>
    <w:uiPriority w:val="9"/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881"/>
    <w:next w:val="881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basedOn w:val="883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881"/>
    <w:next w:val="881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basedOn w:val="883"/>
    <w:link w:val="724"/>
    <w:uiPriority w:val="9"/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881"/>
    <w:next w:val="881"/>
    <w:link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basedOn w:val="883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No Spacing"/>
    <w:uiPriority w:val="1"/>
    <w:qFormat/>
    <w:pPr>
      <w:spacing w:before="0" w:after="0" w:line="240" w:lineRule="auto"/>
    </w:pPr>
  </w:style>
  <w:style w:type="character" w:styleId="729">
    <w:name w:val="Title Char"/>
    <w:basedOn w:val="883"/>
    <w:link w:val="891"/>
    <w:uiPriority w:val="10"/>
    <w:rPr>
      <w:sz w:val="48"/>
      <w:szCs w:val="48"/>
    </w:rPr>
  </w:style>
  <w:style w:type="paragraph" w:styleId="730">
    <w:name w:val="Subtitle"/>
    <w:basedOn w:val="881"/>
    <w:next w:val="881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3"/>
    <w:link w:val="730"/>
    <w:uiPriority w:val="11"/>
    <w:rPr>
      <w:sz w:val="24"/>
      <w:szCs w:val="24"/>
    </w:rPr>
  </w:style>
  <w:style w:type="paragraph" w:styleId="732">
    <w:name w:val="Quote"/>
    <w:basedOn w:val="881"/>
    <w:next w:val="881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1"/>
    <w:next w:val="881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character" w:styleId="736">
    <w:name w:val="Header Char"/>
    <w:basedOn w:val="883"/>
    <w:link w:val="898"/>
    <w:uiPriority w:val="99"/>
  </w:style>
  <w:style w:type="character" w:styleId="737">
    <w:name w:val="Footer Char"/>
    <w:basedOn w:val="883"/>
    <w:link w:val="899"/>
    <w:uiPriority w:val="99"/>
  </w:style>
  <w:style w:type="character" w:styleId="738">
    <w:name w:val="Caption Char"/>
    <w:basedOn w:val="889"/>
    <w:link w:val="899"/>
    <w:uiPriority w:val="99"/>
  </w:style>
  <w:style w:type="table" w:styleId="739">
    <w:name w:val="Table Grid Light"/>
    <w:basedOn w:val="9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1"/>
    <w:basedOn w:val="9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basedOn w:val="9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>
    <w:name w:val="Grid Table 4 - Accent 1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8">
    <w:name w:val="Grid Table 4 - Accent 2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9">
    <w:name w:val="Grid Table 4 - Accent 3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0">
    <w:name w:val="Grid Table 4 - Accent 4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1">
    <w:name w:val="Grid Table 4 - Accent 5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2">
    <w:name w:val="Grid Table 4 - Accent 6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3">
    <w:name w:val="Grid Table 5 Dark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0">
    <w:name w:val="Grid Table 6 Colorful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1">
    <w:name w:val="Grid Table 6 Colorful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2">
    <w:name w:val="Grid Table 6 Colorful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3">
    <w:name w:val="Grid Table 6 Colorful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4">
    <w:name w:val="Grid Table 6 Colorful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5">
    <w:name w:val="Grid Table 6 Colorful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6 Colorful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7 Colorful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2">
    <w:name w:val="List Table 2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3">
    <w:name w:val="List Table 2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4">
    <w:name w:val="List Table 2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5">
    <w:name w:val="List Table 2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6">
    <w:name w:val="List Table 2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7">
    <w:name w:val="List Table 2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6 Colorful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0">
    <w:name w:val="List Table 6 Colorful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1">
    <w:name w:val="List Table 6 Colorful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2">
    <w:name w:val="List Table 6 Colorful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3">
    <w:name w:val="List Table 6 Colorful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4">
    <w:name w:val="List Table 6 Colorful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5">
    <w:name w:val="List Table 6 Colorful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6">
    <w:name w:val="List Table 7 Colorful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7">
    <w:name w:val="List Table 7 Colorful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8">
    <w:name w:val="List Table 7 Colorful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9">
    <w:name w:val="List Table 7 Colorful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0">
    <w:name w:val="List Table 7 Colorful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1">
    <w:name w:val="List Table 7 Colorful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2">
    <w:name w:val="List Table 7 Colorful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3">
    <w:name w:val="Lined - Accent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4">
    <w:name w:val="Lined - Accent 1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5">
    <w:name w:val="Lined - Accent 2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6">
    <w:name w:val="Lined - Accent 3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7">
    <w:name w:val="Lined - Accent 4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8">
    <w:name w:val="Lined - Accent 5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9">
    <w:name w:val="Lined - Accent 6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0">
    <w:name w:val="Bordered &amp; Lined - Accent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Bordered &amp; Lined - Accent 1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2">
    <w:name w:val="Bordered &amp; Lined - Accent 2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3">
    <w:name w:val="Bordered &amp; Lined - Accent 3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4">
    <w:name w:val="Bordered &amp; Lined - Accent 4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5">
    <w:name w:val="Bordered &amp; Lined - Accent 5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6">
    <w:name w:val="Bordered &amp; Lined - Accent 6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7">
    <w:name w:val="Bordered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8">
    <w:name w:val="Bordered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9">
    <w:name w:val="Bordered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0">
    <w:name w:val="Bordered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1">
    <w:name w:val="Bordered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2">
    <w:name w:val="Bordered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3">
    <w:name w:val="Bordered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4">
    <w:name w:val="footnote text"/>
    <w:basedOn w:val="881"/>
    <w:link w:val="865"/>
    <w:uiPriority w:val="99"/>
    <w:semiHidden/>
    <w:unhideWhenUsed/>
    <w:pPr>
      <w:spacing w:after="40" w:line="240" w:lineRule="auto"/>
    </w:pPr>
    <w:rPr>
      <w:sz w:val="18"/>
    </w:rPr>
  </w:style>
  <w:style w:type="character" w:styleId="865">
    <w:name w:val="Footnote Text Char"/>
    <w:link w:val="864"/>
    <w:uiPriority w:val="99"/>
    <w:rPr>
      <w:sz w:val="18"/>
    </w:rPr>
  </w:style>
  <w:style w:type="character" w:styleId="866">
    <w:name w:val="footnote reference"/>
    <w:basedOn w:val="883"/>
    <w:uiPriority w:val="99"/>
    <w:unhideWhenUsed/>
    <w:rPr>
      <w:vertAlign w:val="superscript"/>
    </w:rPr>
  </w:style>
  <w:style w:type="paragraph" w:styleId="867">
    <w:name w:val="endnote text"/>
    <w:basedOn w:val="881"/>
    <w:link w:val="868"/>
    <w:uiPriority w:val="99"/>
    <w:semiHidden/>
    <w:unhideWhenUsed/>
    <w:pPr>
      <w:spacing w:after="0" w:line="240" w:lineRule="auto"/>
    </w:pPr>
    <w:rPr>
      <w:sz w:val="20"/>
    </w:rPr>
  </w:style>
  <w:style w:type="character" w:styleId="868">
    <w:name w:val="Endnote Text Char"/>
    <w:link w:val="867"/>
    <w:uiPriority w:val="99"/>
    <w:rPr>
      <w:sz w:val="20"/>
    </w:rPr>
  </w:style>
  <w:style w:type="character" w:styleId="869">
    <w:name w:val="endnote reference"/>
    <w:basedOn w:val="883"/>
    <w:uiPriority w:val="99"/>
    <w:semiHidden/>
    <w:unhideWhenUsed/>
    <w:rPr>
      <w:vertAlign w:val="superscript"/>
    </w:rPr>
  </w:style>
  <w:style w:type="paragraph" w:styleId="870">
    <w:name w:val="toc 1"/>
    <w:basedOn w:val="881"/>
    <w:next w:val="881"/>
    <w:uiPriority w:val="39"/>
    <w:unhideWhenUsed/>
    <w:pPr>
      <w:ind w:left="0" w:right="0" w:firstLine="0"/>
      <w:spacing w:after="57"/>
    </w:pPr>
  </w:style>
  <w:style w:type="paragraph" w:styleId="871">
    <w:name w:val="toc 2"/>
    <w:basedOn w:val="881"/>
    <w:next w:val="881"/>
    <w:uiPriority w:val="39"/>
    <w:unhideWhenUsed/>
    <w:pPr>
      <w:ind w:left="283" w:right="0" w:firstLine="0"/>
      <w:spacing w:after="57"/>
    </w:pPr>
  </w:style>
  <w:style w:type="paragraph" w:styleId="872">
    <w:name w:val="toc 3"/>
    <w:basedOn w:val="881"/>
    <w:next w:val="881"/>
    <w:uiPriority w:val="39"/>
    <w:unhideWhenUsed/>
    <w:pPr>
      <w:ind w:left="567" w:right="0" w:firstLine="0"/>
      <w:spacing w:after="57"/>
    </w:pPr>
  </w:style>
  <w:style w:type="paragraph" w:styleId="873">
    <w:name w:val="toc 4"/>
    <w:basedOn w:val="881"/>
    <w:next w:val="881"/>
    <w:uiPriority w:val="39"/>
    <w:unhideWhenUsed/>
    <w:pPr>
      <w:ind w:left="850" w:right="0" w:firstLine="0"/>
      <w:spacing w:after="57"/>
    </w:pPr>
  </w:style>
  <w:style w:type="paragraph" w:styleId="874">
    <w:name w:val="toc 5"/>
    <w:basedOn w:val="881"/>
    <w:next w:val="881"/>
    <w:uiPriority w:val="39"/>
    <w:unhideWhenUsed/>
    <w:pPr>
      <w:ind w:left="1134" w:right="0" w:firstLine="0"/>
      <w:spacing w:after="57"/>
    </w:pPr>
  </w:style>
  <w:style w:type="paragraph" w:styleId="875">
    <w:name w:val="toc 6"/>
    <w:basedOn w:val="881"/>
    <w:next w:val="881"/>
    <w:uiPriority w:val="39"/>
    <w:unhideWhenUsed/>
    <w:pPr>
      <w:ind w:left="1417" w:right="0" w:firstLine="0"/>
      <w:spacing w:after="57"/>
    </w:pPr>
  </w:style>
  <w:style w:type="paragraph" w:styleId="876">
    <w:name w:val="toc 7"/>
    <w:basedOn w:val="881"/>
    <w:next w:val="881"/>
    <w:uiPriority w:val="39"/>
    <w:unhideWhenUsed/>
    <w:pPr>
      <w:ind w:left="1701" w:right="0" w:firstLine="0"/>
      <w:spacing w:after="57"/>
    </w:pPr>
  </w:style>
  <w:style w:type="paragraph" w:styleId="877">
    <w:name w:val="toc 8"/>
    <w:basedOn w:val="881"/>
    <w:next w:val="881"/>
    <w:uiPriority w:val="39"/>
    <w:unhideWhenUsed/>
    <w:pPr>
      <w:ind w:left="1984" w:right="0" w:firstLine="0"/>
      <w:spacing w:after="57"/>
    </w:pPr>
  </w:style>
  <w:style w:type="paragraph" w:styleId="878">
    <w:name w:val="toc 9"/>
    <w:basedOn w:val="881"/>
    <w:next w:val="881"/>
    <w:uiPriority w:val="39"/>
    <w:unhideWhenUsed/>
    <w:pPr>
      <w:ind w:left="2268" w:right="0" w:firstLine="0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881"/>
    <w:next w:val="881"/>
    <w:uiPriority w:val="99"/>
    <w:unhideWhenUsed/>
    <w:pPr>
      <w:spacing w:after="0" w:afterAutospacing="0"/>
    </w:pPr>
  </w:style>
  <w:style w:type="paragraph" w:styleId="881" w:default="1">
    <w:name w:val="Normal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2"/>
      <w:szCs w:val="22"/>
      <w:lang w:val="ru-RU" w:eastAsia="en-US" w:bidi="ar-SA"/>
    </w:rPr>
  </w:style>
  <w:style w:type="paragraph" w:styleId="882">
    <w:name w:val="Heading 1"/>
    <w:basedOn w:val="886"/>
    <w:next w:val="887"/>
    <w:qFormat/>
    <w:pPr>
      <w:spacing w:before="240" w:after="120"/>
      <w:outlineLvl w:val="0"/>
    </w:pPr>
    <w:rPr>
      <w:rFonts w:ascii="Liberation Serif" w:hAnsi="Liberation Serif" w:eastAsia="Tahoma" w:cs="Tahoma"/>
      <w:b/>
      <w:bCs/>
      <w:sz w:val="48"/>
      <w:szCs w:val="48"/>
    </w:rPr>
  </w:style>
  <w:style w:type="character" w:styleId="883" w:default="1">
    <w:name w:val="Default Paragraph Font"/>
    <w:uiPriority w:val="1"/>
    <w:semiHidden/>
    <w:unhideWhenUsed/>
    <w:qFormat/>
  </w:style>
  <w:style w:type="character" w:styleId="884">
    <w:name w:val="Hyperlink"/>
    <w:rPr>
      <w:color w:val="000080"/>
      <w:u w:val="single"/>
    </w:rPr>
  </w:style>
  <w:style w:type="character" w:styleId="885">
    <w:name w:val="Цветовое выделение для Текст"/>
    <w:qFormat/>
  </w:style>
  <w:style w:type="paragraph" w:styleId="886">
    <w:name w:val="Заголовок"/>
    <w:basedOn w:val="881"/>
    <w:next w:val="887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87">
    <w:name w:val="Body Text"/>
    <w:basedOn w:val="881"/>
    <w:uiPriority w:val="1"/>
    <w:qFormat/>
    <w:pPr>
      <w:ind w:left="7" w:firstLine="720"/>
      <w:jc w:val="both"/>
    </w:pPr>
  </w:style>
  <w:style w:type="paragraph" w:styleId="888">
    <w:name w:val="List"/>
    <w:basedOn w:val="887"/>
    <w:rPr>
      <w:rFonts w:ascii="PT Astra Serif" w:hAnsi="PT Astra Serif" w:cs="Noto Sans Devanagari"/>
    </w:rPr>
  </w:style>
  <w:style w:type="paragraph" w:styleId="889">
    <w:name w:val="Caption"/>
    <w:basedOn w:val="881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90">
    <w:name w:val="Указатель"/>
    <w:basedOn w:val="881"/>
    <w:qFormat/>
    <w:pPr>
      <w:suppressLineNumbers/>
    </w:pPr>
    <w:rPr>
      <w:rFonts w:ascii="PT Astra Serif" w:hAnsi="PT Astra Serif" w:cs="Noto Sans Devanagari"/>
    </w:rPr>
  </w:style>
  <w:style w:type="paragraph" w:styleId="891">
    <w:name w:val="Title"/>
    <w:basedOn w:val="881"/>
    <w:next w:val="887"/>
    <w:uiPriority w:val="1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92">
    <w:name w:val="index heading"/>
    <w:basedOn w:val="881"/>
    <w:qFormat/>
    <w:pPr>
      <w:suppressLineNumbers/>
    </w:pPr>
    <w:rPr>
      <w:rFonts w:ascii="PT Astra Serif" w:hAnsi="PT Astra Serif" w:cs="Noto Sans Devanagari"/>
    </w:rPr>
  </w:style>
  <w:style w:type="paragraph" w:styleId="893">
    <w:name w:val="List Paragraph"/>
    <w:basedOn w:val="881"/>
    <w:uiPriority w:val="1"/>
    <w:qFormat/>
    <w:pPr>
      <w:ind w:left="7" w:firstLine="720"/>
      <w:jc w:val="both"/>
    </w:pPr>
  </w:style>
  <w:style w:type="paragraph" w:styleId="894" w:customStyle="1">
    <w:name w:val="Table Paragraph"/>
    <w:basedOn w:val="881"/>
    <w:uiPriority w:val="1"/>
    <w:qFormat/>
  </w:style>
  <w:style w:type="paragraph" w:styleId="895" w:customStyle="1">
    <w:name w:val="Содержимое врезки"/>
    <w:basedOn w:val="881"/>
    <w:qFormat/>
  </w:style>
  <w:style w:type="paragraph" w:styleId="896" w:customStyle="1">
    <w:name w:val="Колонтитул"/>
    <w:basedOn w:val="881"/>
    <w:qFormat/>
  </w:style>
  <w:style w:type="paragraph" w:styleId="897">
    <w:name w:val="Header and Footer"/>
    <w:basedOn w:val="881"/>
    <w:qFormat/>
  </w:style>
  <w:style w:type="paragraph" w:styleId="898">
    <w:name w:val="Header"/>
    <w:basedOn w:val="896"/>
  </w:style>
  <w:style w:type="paragraph" w:styleId="899">
    <w:name w:val="Footer"/>
    <w:basedOn w:val="896"/>
  </w:style>
  <w:style w:type="numbering" w:styleId="900" w:default="1">
    <w:name w:val="Без списка"/>
    <w:uiPriority w:val="99"/>
    <w:semiHidden/>
    <w:unhideWhenUsed/>
    <w:qFormat/>
  </w:style>
  <w:style w:type="table" w:styleId="901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02" w:customStyle="1">
    <w:name w:val="Table Normal"/>
    <w:uiPriority w:val="2"/>
    <w:semiHidden/>
    <w:unhideWhenUsed/>
    <w:qFormat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03">
    <w:name w:val="Table Grid"/>
    <w:basedOn w:val="90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hyperlink" Target="https://internet.garant.ru/document/redirect/12112604/268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/>
  <dc:language>ru-RU</dc:language>
  <cp:revision>86</cp:revision>
  <dcterms:created xsi:type="dcterms:W3CDTF">2025-04-23T06:06:00Z</dcterms:created>
  <dcterms:modified xsi:type="dcterms:W3CDTF">2025-06-20T15:05:26Z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Creator">
    <vt:lpwstr>Документ экспортирован из системы ГАРАНТ</vt:lpwstr>
  </property>
  <property fmtid="{D5CDD505-2E9C-101B-9397-08002B2CF9AE}" pid="4" name="LastSaved">
    <vt:filetime>2025-04-23T00:00:00Z</vt:filetime>
  </property>
  <property fmtid="{D5CDD505-2E9C-101B-9397-08002B2CF9AE}" pid="5" name="Producer">
    <vt:lpwstr>Synopse PDF engine 1.18.6395</vt:lpwstr>
  </property>
</Properties>
</file>